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38" w:rsidRPr="005B5E54" w:rsidRDefault="00D07838" w:rsidP="00D07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B5E54">
        <w:rPr>
          <w:rFonts w:ascii="Times New Roman" w:hAnsi="Times New Roman" w:cs="Times New Roman"/>
          <w:b/>
          <w:sz w:val="28"/>
          <w:lang w:val="uk-UA"/>
        </w:rPr>
        <w:t xml:space="preserve">ПОЛОЖЕННЯ  </w:t>
      </w:r>
    </w:p>
    <w:p w:rsidR="00D07838" w:rsidRPr="005B5E54" w:rsidRDefault="00D07838" w:rsidP="00D07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B5E54">
        <w:rPr>
          <w:rFonts w:ascii="Times New Roman" w:hAnsi="Times New Roman" w:cs="Times New Roman"/>
          <w:b/>
          <w:sz w:val="28"/>
          <w:lang w:val="uk-UA"/>
        </w:rPr>
        <w:t xml:space="preserve">про </w:t>
      </w:r>
      <w:proofErr w:type="spellStart"/>
      <w:r w:rsidRPr="005B5E54">
        <w:rPr>
          <w:rFonts w:ascii="Times New Roman" w:hAnsi="Times New Roman" w:cs="Times New Roman"/>
          <w:b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b/>
          <w:sz w:val="28"/>
          <w:lang w:val="uk-UA"/>
        </w:rPr>
        <w:t xml:space="preserve"> освітніх компонентів та </w:t>
      </w:r>
      <w:r w:rsidR="00CF6A32">
        <w:rPr>
          <w:rFonts w:ascii="Times New Roman" w:hAnsi="Times New Roman" w:cs="Times New Roman"/>
          <w:b/>
          <w:sz w:val="28"/>
          <w:lang w:val="uk-UA"/>
        </w:rPr>
        <w:t>визначення академічної різниці в</w:t>
      </w:r>
      <w:r w:rsidRPr="005B5E54">
        <w:rPr>
          <w:rFonts w:ascii="Times New Roman" w:hAnsi="Times New Roman" w:cs="Times New Roman"/>
          <w:b/>
          <w:sz w:val="28"/>
          <w:lang w:val="uk-UA"/>
        </w:rPr>
        <w:t xml:space="preserve"> Мелітопольському державному педагогічному університеті імені Богдана Хмельницького</w:t>
      </w:r>
    </w:p>
    <w:p w:rsidR="00D07838" w:rsidRPr="005B5E54" w:rsidRDefault="00D07838" w:rsidP="00D07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07838" w:rsidRPr="005B5E54" w:rsidRDefault="00D07838" w:rsidP="00D078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B5E54">
        <w:rPr>
          <w:rFonts w:ascii="Times New Roman" w:hAnsi="Times New Roman" w:cs="Times New Roman"/>
          <w:b/>
          <w:sz w:val="28"/>
          <w:lang w:val="uk-UA"/>
        </w:rPr>
        <w:t>1. Загальні положення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1. Положення про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освітніх компонентів та визначення академічної різниці у Мелітопольському державному педагогічному університеті імені Богдана Хмельницького (далі ‒ Положення) визначає порядок визнання і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результатів навчання освітніх компонентів та їх кредитів ECTS, та визначення академічної різниці здобувачів освітніх ступенів молодшого бакалавра, бакалавра, магістра, доктора філософії, які: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 - переводяться з інших закладів вищої освіти; 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>- бажають здобувати освіту на наступному освітньому рівні підготовки або паралельно (одночасно) навчатися на двох спеціальностях (освітніх програмах);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 - продовжують навчання після завершення академічної відпустки або повторного навчання;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 - поновлюються на навчання після відрахування; - прийняті на навчання на другий (третій) курси або на перший курс (зі скороченим терміном навчання) на основі освітнього ступеня молодшого бакалавра або на основі фахової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передвищої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освіти; 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>- ініціюють визнання результатів навчання, отриманих у процесі неформальної освіти;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 - є учасниками програм академічної мобільності. 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2. Положення розроблено відповідно до законів України «Про освіту», «Про вищу освіту», Положення про порядок реалізації права на академічну мобільність (постанова Кабінету Міністрів України від 12.08.2015 р. № 579), методичних рекомендацій щодо запровадження Європейської кредитно- трансферної системи та її ключових документів у вищих навчальних закладах (лист МОН України від 26.02.2010 р. № 1/9-119); Положення про організацію освітнього процесу в Мелітопольському державному педагогічному університеті імені Богдана Хмельницького. </w:t>
      </w:r>
    </w:p>
    <w:p w:rsidR="00D07838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3. У Положенні враховані засади Європейської кредитної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трансферно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- накопичувальної системи (далі - ECTS), на основі якої здійснюється визнання результатів навчання в Мелітопольському державному педагогічному університеті імені Богдана Хмельницького (далі - Університет). </w:t>
      </w:r>
    </w:p>
    <w:p w:rsidR="006B66AB" w:rsidRPr="005B5E54" w:rsidRDefault="006B66AB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D07838" w:rsidRDefault="00D07838" w:rsidP="00D078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B5E54">
        <w:rPr>
          <w:rFonts w:ascii="Times New Roman" w:hAnsi="Times New Roman" w:cs="Times New Roman"/>
          <w:b/>
          <w:sz w:val="28"/>
          <w:lang w:val="uk-UA"/>
        </w:rPr>
        <w:t xml:space="preserve">2. Порядок визнання і </w:t>
      </w:r>
      <w:proofErr w:type="spellStart"/>
      <w:r w:rsidRPr="005B5E54">
        <w:rPr>
          <w:rFonts w:ascii="Times New Roman" w:hAnsi="Times New Roman" w:cs="Times New Roman"/>
          <w:b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b/>
          <w:sz w:val="28"/>
          <w:lang w:val="uk-UA"/>
        </w:rPr>
        <w:t xml:space="preserve"> результатів навчання, кредитів ECTS освітніх компонентів</w:t>
      </w:r>
      <w:r w:rsidR="00800644">
        <w:rPr>
          <w:rFonts w:ascii="Times New Roman" w:hAnsi="Times New Roman" w:cs="Times New Roman"/>
          <w:b/>
          <w:sz w:val="28"/>
          <w:lang w:val="uk-UA"/>
        </w:rPr>
        <w:t xml:space="preserve"> при поновленні</w:t>
      </w:r>
    </w:p>
    <w:p w:rsidR="00800644" w:rsidRPr="005B5E54" w:rsidRDefault="00800644" w:rsidP="00D078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1. Визнання і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результатів навчання освітніх компонентів (</w:t>
      </w:r>
      <w:r w:rsidR="00DC0BDC">
        <w:rPr>
          <w:rFonts w:ascii="Times New Roman" w:hAnsi="Times New Roman" w:cs="Times New Roman"/>
          <w:sz w:val="28"/>
          <w:lang w:val="uk-UA"/>
        </w:rPr>
        <w:t>надалі – ОК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) та відповідних кредитів ECTS здійснюється за </w:t>
      </w:r>
      <w:r w:rsidRPr="005B5E54">
        <w:rPr>
          <w:rFonts w:ascii="Times New Roman" w:hAnsi="Times New Roman" w:cs="Times New Roman"/>
          <w:sz w:val="28"/>
          <w:lang w:val="uk-UA"/>
        </w:rPr>
        <w:lastRenderedPageBreak/>
        <w:t xml:space="preserve">заявою здобувача вищої освіти </w:t>
      </w:r>
      <w:r w:rsidR="00AA41B2">
        <w:rPr>
          <w:rFonts w:ascii="Times New Roman" w:hAnsi="Times New Roman" w:cs="Times New Roman"/>
          <w:sz w:val="28"/>
          <w:lang w:val="uk-UA"/>
        </w:rPr>
        <w:t xml:space="preserve">/ особою, яка поновлюється на навчання, 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відповідно до договору про навчання, академічної довідки або додатку до документа про вищу освіту  результатів навчання, запланованих </w:t>
      </w:r>
      <w:r w:rsidR="00AA41B2">
        <w:rPr>
          <w:rFonts w:ascii="Times New Roman" w:hAnsi="Times New Roman" w:cs="Times New Roman"/>
          <w:sz w:val="28"/>
          <w:lang w:val="uk-UA"/>
        </w:rPr>
        <w:t xml:space="preserve">ОК </w:t>
      </w:r>
      <w:r w:rsidR="00800644">
        <w:rPr>
          <w:rFonts w:ascii="Times New Roman" w:hAnsi="Times New Roman" w:cs="Times New Roman"/>
          <w:sz w:val="28"/>
          <w:lang w:val="uk-UA"/>
        </w:rPr>
        <w:t>відповідної спеціальності в У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ніверситеті або навчальної картки, залікової книжки </w:t>
      </w:r>
      <w:r w:rsidR="00DC0BDC">
        <w:rPr>
          <w:rFonts w:ascii="Times New Roman" w:hAnsi="Times New Roman" w:cs="Times New Roman"/>
          <w:sz w:val="28"/>
          <w:lang w:val="uk-UA"/>
        </w:rPr>
        <w:t>здобувача (для здобувачів вищої освіти У</w:t>
      </w:r>
      <w:r w:rsidRPr="005B5E54">
        <w:rPr>
          <w:rFonts w:ascii="Times New Roman" w:hAnsi="Times New Roman" w:cs="Times New Roman"/>
          <w:sz w:val="28"/>
          <w:lang w:val="uk-UA"/>
        </w:rPr>
        <w:t>ніверситету</w:t>
      </w:r>
      <w:r w:rsidR="008816A2">
        <w:rPr>
          <w:rFonts w:ascii="Times New Roman" w:hAnsi="Times New Roman" w:cs="Times New Roman"/>
          <w:sz w:val="28"/>
          <w:highlight w:val="green"/>
          <w:lang w:val="uk-UA"/>
        </w:rPr>
        <w:t>).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2. Заява про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</w:t>
      </w:r>
      <w:r w:rsidR="00DC0BDC">
        <w:rPr>
          <w:rFonts w:ascii="Times New Roman" w:hAnsi="Times New Roman" w:cs="Times New Roman"/>
          <w:sz w:val="28"/>
          <w:lang w:val="uk-UA"/>
        </w:rPr>
        <w:t>ОК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 (опанованого у процесі формальної освіт</w:t>
      </w:r>
      <w:r w:rsidR="00C00212">
        <w:rPr>
          <w:rFonts w:ascii="Times New Roman" w:hAnsi="Times New Roman" w:cs="Times New Roman"/>
          <w:sz w:val="28"/>
          <w:lang w:val="uk-UA"/>
        </w:rPr>
        <w:t>и) та відповідних кредитів ECTS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 подається здобувачем вищої освіти декану факультету / завідувачу відділу аспірантури та докторантури </w:t>
      </w:r>
      <w:r w:rsidRPr="00096F6B">
        <w:rPr>
          <w:rFonts w:ascii="Times New Roman" w:hAnsi="Times New Roman" w:cs="Times New Roman"/>
          <w:sz w:val="28"/>
          <w:lang w:val="uk-UA"/>
        </w:rPr>
        <w:t>до початку семестру</w:t>
      </w:r>
      <w:r w:rsidR="006F2331" w:rsidRPr="00096F6B">
        <w:rPr>
          <w:rFonts w:ascii="Times New Roman" w:hAnsi="Times New Roman" w:cs="Times New Roman"/>
          <w:sz w:val="28"/>
          <w:lang w:val="uk-UA"/>
        </w:rPr>
        <w:t>,</w:t>
      </w:r>
      <w:r w:rsidRPr="00096F6B">
        <w:rPr>
          <w:rFonts w:ascii="Times New Roman" w:hAnsi="Times New Roman" w:cs="Times New Roman"/>
          <w:sz w:val="28"/>
          <w:lang w:val="uk-UA"/>
        </w:rPr>
        <w:t xml:space="preserve"> враховуючи те, щоб у випадку невідповідності програмних вимог та відмови в </w:t>
      </w:r>
      <w:proofErr w:type="spellStart"/>
      <w:r w:rsidRPr="00096F6B">
        <w:rPr>
          <w:rFonts w:ascii="Times New Roman" w:hAnsi="Times New Roman" w:cs="Times New Roman"/>
          <w:sz w:val="28"/>
          <w:lang w:val="uk-UA"/>
        </w:rPr>
        <w:t>перезарахуванні</w:t>
      </w:r>
      <w:proofErr w:type="spellEnd"/>
      <w:r w:rsidRPr="00096F6B">
        <w:rPr>
          <w:rFonts w:ascii="Times New Roman" w:hAnsi="Times New Roman" w:cs="Times New Roman"/>
          <w:sz w:val="28"/>
          <w:lang w:val="uk-UA"/>
        </w:rPr>
        <w:t xml:space="preserve">, здобувач вищої освіти міг пройти підготовку з відповідного </w:t>
      </w:r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="00370D27" w:rsidRPr="00096F6B">
        <w:rPr>
          <w:rFonts w:ascii="Times New Roman" w:hAnsi="Times New Roman" w:cs="Times New Roman"/>
          <w:sz w:val="28"/>
          <w:lang w:val="uk-UA"/>
        </w:rPr>
        <w:t xml:space="preserve"> </w:t>
      </w:r>
      <w:r w:rsidRPr="00096F6B">
        <w:rPr>
          <w:rFonts w:ascii="Times New Roman" w:hAnsi="Times New Roman" w:cs="Times New Roman"/>
          <w:sz w:val="28"/>
          <w:lang w:val="uk-UA"/>
        </w:rPr>
        <w:t>в повному обсязі.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07838" w:rsidRDefault="00DC0BDC" w:rsidP="006B6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Визнання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</w:t>
      </w:r>
      <w:r w:rsidR="00D07838" w:rsidRPr="005B5E54">
        <w:rPr>
          <w:rFonts w:ascii="Times New Roman" w:hAnsi="Times New Roman" w:cs="Times New Roman"/>
          <w:sz w:val="28"/>
          <w:lang w:val="uk-UA"/>
        </w:rPr>
        <w:t>ерезарахування</w:t>
      </w:r>
      <w:proofErr w:type="spellEnd"/>
      <w:r w:rsidR="00D07838" w:rsidRPr="005B5E54">
        <w:rPr>
          <w:rFonts w:ascii="Times New Roman" w:hAnsi="Times New Roman" w:cs="Times New Roman"/>
          <w:sz w:val="28"/>
          <w:lang w:val="uk-UA"/>
        </w:rPr>
        <w:t xml:space="preserve"> результатів раніше складених здобувачем вищої освіти </w:t>
      </w:r>
      <w:r>
        <w:rPr>
          <w:rFonts w:ascii="Times New Roman" w:hAnsi="Times New Roman" w:cs="Times New Roman"/>
          <w:sz w:val="28"/>
          <w:lang w:val="uk-UA"/>
        </w:rPr>
        <w:t>ОК</w:t>
      </w:r>
      <w:r w:rsidR="00D07838" w:rsidRPr="005B5E54">
        <w:rPr>
          <w:rFonts w:ascii="Times New Roman" w:hAnsi="Times New Roman" w:cs="Times New Roman"/>
          <w:sz w:val="28"/>
          <w:lang w:val="uk-UA"/>
        </w:rPr>
        <w:t xml:space="preserve"> здійснює </w:t>
      </w:r>
      <w:r w:rsidR="00C80C33" w:rsidRPr="005B5E54">
        <w:rPr>
          <w:rFonts w:ascii="Times New Roman" w:hAnsi="Times New Roman" w:cs="Times New Roman"/>
          <w:sz w:val="28"/>
          <w:lang w:val="uk-UA"/>
        </w:rPr>
        <w:t xml:space="preserve">заступник </w:t>
      </w:r>
      <w:r w:rsidR="00D07838" w:rsidRPr="005B5E54">
        <w:rPr>
          <w:rFonts w:ascii="Times New Roman" w:hAnsi="Times New Roman" w:cs="Times New Roman"/>
          <w:sz w:val="28"/>
          <w:lang w:val="uk-UA"/>
        </w:rPr>
        <w:t>декан</w:t>
      </w:r>
      <w:r w:rsidR="00C80C33" w:rsidRPr="005B5E54">
        <w:rPr>
          <w:rFonts w:ascii="Times New Roman" w:hAnsi="Times New Roman" w:cs="Times New Roman"/>
          <w:sz w:val="28"/>
          <w:lang w:val="uk-UA"/>
        </w:rPr>
        <w:t>а</w:t>
      </w:r>
      <w:r w:rsidR="00D07838" w:rsidRPr="005B5E54">
        <w:rPr>
          <w:rFonts w:ascii="Times New Roman" w:hAnsi="Times New Roman" w:cs="Times New Roman"/>
          <w:sz w:val="28"/>
          <w:lang w:val="uk-UA"/>
        </w:rPr>
        <w:t xml:space="preserve"> факультету</w:t>
      </w:r>
      <w:r w:rsidR="00C80C33" w:rsidRPr="005B5E54">
        <w:rPr>
          <w:rFonts w:ascii="Times New Roman" w:hAnsi="Times New Roman" w:cs="Times New Roman"/>
          <w:sz w:val="28"/>
          <w:lang w:val="uk-UA"/>
        </w:rPr>
        <w:t xml:space="preserve"> з навчальної роботи</w:t>
      </w:r>
      <w:r w:rsidR="00D07838" w:rsidRPr="005B5E54">
        <w:rPr>
          <w:rFonts w:ascii="Times New Roman" w:hAnsi="Times New Roman" w:cs="Times New Roman"/>
          <w:sz w:val="28"/>
          <w:lang w:val="uk-UA"/>
        </w:rPr>
        <w:t xml:space="preserve"> / завідувач відділу аспірантури та докторантури </w:t>
      </w:r>
      <w:r>
        <w:rPr>
          <w:rFonts w:ascii="Times New Roman" w:hAnsi="Times New Roman" w:cs="Times New Roman"/>
          <w:sz w:val="28"/>
          <w:lang w:val="uk-UA"/>
        </w:rPr>
        <w:t xml:space="preserve">на підставі рішення </w:t>
      </w:r>
      <w:r w:rsidR="006B66AB" w:rsidRPr="00096F6B">
        <w:rPr>
          <w:rFonts w:ascii="Times New Roman" w:hAnsi="Times New Roman" w:cs="Times New Roman"/>
          <w:sz w:val="28"/>
          <w:szCs w:val="28"/>
          <w:lang w:val="uk-UA"/>
        </w:rPr>
        <w:t xml:space="preserve">Експертної комісії з </w:t>
      </w:r>
      <w:proofErr w:type="spellStart"/>
      <w:r w:rsidR="006B66AB" w:rsidRPr="00096F6B">
        <w:rPr>
          <w:rFonts w:ascii="Times New Roman" w:hAnsi="Times New Roman" w:cs="Times New Roman"/>
          <w:sz w:val="28"/>
          <w:szCs w:val="28"/>
          <w:lang w:val="uk-UA"/>
        </w:rPr>
        <w:t>перезарахування</w:t>
      </w:r>
      <w:proofErr w:type="spellEnd"/>
      <w:r w:rsidR="006B66AB" w:rsidRPr="00096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="006B66AB" w:rsidRPr="00096F6B">
        <w:rPr>
          <w:rFonts w:ascii="Times New Roman" w:hAnsi="Times New Roman" w:cs="Times New Roman"/>
          <w:sz w:val="28"/>
          <w:szCs w:val="28"/>
          <w:lang w:val="uk-UA"/>
        </w:rPr>
        <w:t xml:space="preserve"> та ліквідації академічної різниці (далі –</w:t>
      </w:r>
      <w:r w:rsidR="00370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6AB" w:rsidRPr="00096F6B">
        <w:rPr>
          <w:rFonts w:ascii="Times New Roman" w:hAnsi="Times New Roman" w:cs="Times New Roman"/>
          <w:sz w:val="28"/>
          <w:szCs w:val="28"/>
          <w:lang w:val="uk-UA"/>
        </w:rPr>
        <w:t>Експертна комісія)</w:t>
      </w:r>
      <w:r w:rsidR="006B6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7838" w:rsidRPr="005B5E54">
        <w:rPr>
          <w:rFonts w:ascii="Times New Roman" w:hAnsi="Times New Roman" w:cs="Times New Roman"/>
          <w:sz w:val="28"/>
          <w:lang w:val="uk-UA"/>
        </w:rPr>
        <w:t xml:space="preserve">шляхом їх порівняння (відповідність змісту </w:t>
      </w:r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="00370D27" w:rsidRPr="005B5E54">
        <w:rPr>
          <w:rFonts w:ascii="Times New Roman" w:hAnsi="Times New Roman" w:cs="Times New Roman"/>
          <w:sz w:val="28"/>
          <w:lang w:val="uk-UA"/>
        </w:rPr>
        <w:t xml:space="preserve"> </w:t>
      </w:r>
      <w:r w:rsidR="00D07838" w:rsidRPr="005B5E54">
        <w:rPr>
          <w:rFonts w:ascii="Times New Roman" w:hAnsi="Times New Roman" w:cs="Times New Roman"/>
          <w:sz w:val="28"/>
          <w:lang w:val="uk-UA"/>
        </w:rPr>
        <w:t xml:space="preserve">освітній програмі, загальний обсяг у годинах (кредитах ECTS), форми підсумкового контролю) за згодою гаранта освітньої програми, про що здійснюється запис </w:t>
      </w:r>
      <w:r w:rsidR="006B66AB">
        <w:rPr>
          <w:rFonts w:ascii="Times New Roman" w:hAnsi="Times New Roman" w:cs="Times New Roman"/>
          <w:sz w:val="28"/>
          <w:lang w:val="uk-UA"/>
        </w:rPr>
        <w:t>у</w:t>
      </w:r>
      <w:r w:rsidR="00D07838" w:rsidRPr="005B5E54">
        <w:rPr>
          <w:rFonts w:ascii="Times New Roman" w:hAnsi="Times New Roman" w:cs="Times New Roman"/>
          <w:sz w:val="28"/>
          <w:lang w:val="uk-UA"/>
        </w:rPr>
        <w:t xml:space="preserve"> заяві здобувача вищої освіти. </w:t>
      </w:r>
    </w:p>
    <w:p w:rsidR="00596729" w:rsidRDefault="008816A2" w:rsidP="005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F6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96729" w:rsidRPr="00096F6B">
        <w:rPr>
          <w:rFonts w:ascii="Times New Roman" w:hAnsi="Times New Roman" w:cs="Times New Roman"/>
          <w:sz w:val="28"/>
          <w:szCs w:val="28"/>
          <w:lang w:val="uk-UA"/>
        </w:rPr>
        <w:t xml:space="preserve">. Експертна комісія формується за кожною спеціальністю терміном на один рік з 15 липня поточного року по 30 червня наступного навчального року. До складу Експертної комісії входять: декан факультету, заступник декана з навчальної роботи, завідувач кафедри, до сфери відповідальності якої відноситься </w:t>
      </w:r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="00596729" w:rsidRPr="00096F6B">
        <w:rPr>
          <w:rFonts w:ascii="Times New Roman" w:hAnsi="Times New Roman" w:cs="Times New Roman"/>
          <w:sz w:val="28"/>
          <w:szCs w:val="28"/>
          <w:lang w:val="uk-UA"/>
        </w:rPr>
        <w:t xml:space="preserve">, гарант освітньої програми та науково-педагогічний працівник, який викладає той самий або споріднений </w:t>
      </w:r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="00596729" w:rsidRPr="00096F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6729" w:rsidRPr="00722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16A2" w:rsidRDefault="008816A2" w:rsidP="00881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</w:t>
      </w:r>
      <w:r w:rsidR="00596729" w:rsidRPr="005B5E54">
        <w:rPr>
          <w:rFonts w:ascii="Times New Roman" w:hAnsi="Times New Roman" w:cs="Times New Roman"/>
          <w:sz w:val="28"/>
          <w:lang w:val="uk-UA"/>
        </w:rPr>
        <w:t xml:space="preserve">. Склад </w:t>
      </w:r>
      <w:r w:rsidR="00596729">
        <w:rPr>
          <w:rFonts w:ascii="Times New Roman" w:hAnsi="Times New Roman" w:cs="Times New Roman"/>
          <w:sz w:val="28"/>
          <w:lang w:val="uk-UA"/>
        </w:rPr>
        <w:t xml:space="preserve">Експертної </w:t>
      </w:r>
      <w:r w:rsidR="00596729" w:rsidRPr="005B5E54">
        <w:rPr>
          <w:rFonts w:ascii="Times New Roman" w:hAnsi="Times New Roman" w:cs="Times New Roman"/>
          <w:sz w:val="28"/>
          <w:lang w:val="uk-UA"/>
        </w:rPr>
        <w:t>комісії формується розпорядженням декана факультету/ завідувача відділом аспірантури та докторантури.</w:t>
      </w:r>
    </w:p>
    <w:p w:rsidR="008816A2" w:rsidRDefault="008816A2" w:rsidP="0088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</w:t>
      </w:r>
      <w:r w:rsidR="00096F6B" w:rsidRPr="00096F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Експертна комісія</w:t>
      </w:r>
      <w:r w:rsidR="00596729" w:rsidRPr="00096F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не відноситься до структурних підрозділів приймальної комісії та працює незалежно від відбіркових, екзаменаційних та інших підрозділів приймальної комісії.</w:t>
      </w:r>
    </w:p>
    <w:p w:rsidR="00800644" w:rsidRPr="008816A2" w:rsidRDefault="008816A2" w:rsidP="00881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7. </w:t>
      </w:r>
      <w:proofErr w:type="spellStart"/>
      <w:r w:rsidR="00800644" w:rsidRPr="008816A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Перезарахування</w:t>
      </w:r>
      <w:proofErr w:type="spellEnd"/>
      <w:r w:rsidR="00800644" w:rsidRPr="008816A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нормати</w:t>
      </w:r>
      <w:r w:rsidR="00596729" w:rsidRPr="008816A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вних (обов’язкових) ОК</w:t>
      </w:r>
      <w:r w:rsidR="00800644" w:rsidRPr="008816A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, що забезпечують результати навчання за певною освітньою програмою, можуть здійснюватися у такий спосіб:</w:t>
      </w:r>
    </w:p>
    <w:p w:rsidR="00800644" w:rsidRDefault="00800644" w:rsidP="00800644">
      <w:pPr>
        <w:pStyle w:val="a6"/>
        <w:numPr>
          <w:ilvl w:val="0"/>
          <w:numId w:val="7"/>
        </w:numPr>
        <w:tabs>
          <w:tab w:val="left" w:pos="1104"/>
        </w:tabs>
        <w:ind w:firstLine="720"/>
        <w:jc w:val="both"/>
      </w:pPr>
      <w:r>
        <w:rPr>
          <w:color w:val="000000"/>
          <w:lang w:val="uk-UA" w:eastAsia="uk-UA" w:bidi="uk-UA"/>
        </w:rPr>
        <w:t xml:space="preserve">повне </w:t>
      </w:r>
      <w:proofErr w:type="spellStart"/>
      <w:r>
        <w:rPr>
          <w:color w:val="000000"/>
          <w:lang w:val="uk-UA" w:eastAsia="uk-UA" w:bidi="uk-UA"/>
        </w:rPr>
        <w:t>перезарахування</w:t>
      </w:r>
      <w:proofErr w:type="spellEnd"/>
      <w:r>
        <w:rPr>
          <w:color w:val="000000"/>
          <w:lang w:val="uk-UA" w:eastAsia="uk-UA" w:bidi="uk-UA"/>
        </w:rPr>
        <w:t xml:space="preserve"> (коли заявлені результати навчання та обсяг ОК у кредитах ЄКТС збігаються);</w:t>
      </w:r>
    </w:p>
    <w:p w:rsidR="00800644" w:rsidRDefault="00800644" w:rsidP="00800644">
      <w:pPr>
        <w:pStyle w:val="a6"/>
        <w:numPr>
          <w:ilvl w:val="0"/>
          <w:numId w:val="7"/>
        </w:numPr>
        <w:tabs>
          <w:tab w:val="left" w:pos="1104"/>
        </w:tabs>
        <w:ind w:firstLine="720"/>
        <w:jc w:val="both"/>
      </w:pPr>
      <w:r>
        <w:rPr>
          <w:color w:val="000000"/>
          <w:lang w:val="uk-UA" w:eastAsia="uk-UA" w:bidi="uk-UA"/>
        </w:rPr>
        <w:t xml:space="preserve">часткове </w:t>
      </w:r>
      <w:proofErr w:type="spellStart"/>
      <w:r>
        <w:rPr>
          <w:color w:val="000000"/>
          <w:lang w:val="uk-UA" w:eastAsia="uk-UA" w:bidi="uk-UA"/>
        </w:rPr>
        <w:t>перезарахування</w:t>
      </w:r>
      <w:proofErr w:type="spellEnd"/>
      <w:r>
        <w:rPr>
          <w:color w:val="000000"/>
          <w:lang w:val="uk-UA" w:eastAsia="uk-UA" w:bidi="uk-UA"/>
        </w:rPr>
        <w:t xml:space="preserve"> (</w:t>
      </w:r>
      <w:proofErr w:type="spellStart"/>
      <w:r>
        <w:rPr>
          <w:color w:val="000000"/>
          <w:lang w:val="uk-UA" w:eastAsia="uk-UA" w:bidi="uk-UA"/>
        </w:rPr>
        <w:t>перезараховується</w:t>
      </w:r>
      <w:proofErr w:type="spellEnd"/>
      <w:r>
        <w:rPr>
          <w:color w:val="000000"/>
          <w:lang w:val="uk-UA" w:eastAsia="uk-UA" w:bidi="uk-UA"/>
        </w:rPr>
        <w:t xml:space="preserve"> та частка кредитів, що відповідає результатам навчання, які збігаються (решта виводиться як академічна розбіжність);</w:t>
      </w:r>
    </w:p>
    <w:p w:rsidR="00D20CFC" w:rsidRPr="00800644" w:rsidRDefault="00800644" w:rsidP="00800644">
      <w:pPr>
        <w:pStyle w:val="a6"/>
        <w:numPr>
          <w:ilvl w:val="0"/>
          <w:numId w:val="7"/>
        </w:numPr>
        <w:tabs>
          <w:tab w:val="left" w:pos="1104"/>
        </w:tabs>
        <w:ind w:firstLine="720"/>
        <w:jc w:val="both"/>
      </w:pPr>
      <w:r>
        <w:rPr>
          <w:color w:val="000000"/>
          <w:lang w:val="uk-UA" w:eastAsia="uk-UA" w:bidi="uk-UA"/>
        </w:rPr>
        <w:t xml:space="preserve">асиметричне </w:t>
      </w:r>
      <w:proofErr w:type="spellStart"/>
      <w:r>
        <w:rPr>
          <w:color w:val="000000"/>
          <w:lang w:val="uk-UA" w:eastAsia="uk-UA" w:bidi="uk-UA"/>
        </w:rPr>
        <w:t>перезарахування</w:t>
      </w:r>
      <w:proofErr w:type="spellEnd"/>
      <w:r>
        <w:rPr>
          <w:color w:val="000000"/>
          <w:lang w:val="uk-UA" w:eastAsia="uk-UA" w:bidi="uk-UA"/>
        </w:rPr>
        <w:t xml:space="preserve"> (результати навчання забезпечуються кількома ОК із меншою кількістю кредитів замість одного ОК з більшою кількістю кредитів і навпаки).</w:t>
      </w:r>
    </w:p>
    <w:p w:rsidR="00800644" w:rsidRDefault="008816A2" w:rsidP="00800644">
      <w:pPr>
        <w:pStyle w:val="a6"/>
        <w:tabs>
          <w:tab w:val="left" w:pos="1254"/>
        </w:tabs>
        <w:ind w:firstLine="720"/>
        <w:jc w:val="both"/>
      </w:pPr>
      <w:r>
        <w:rPr>
          <w:lang w:val="uk-UA"/>
        </w:rPr>
        <w:t>8.</w:t>
      </w:r>
      <w:r w:rsidR="00D07838" w:rsidRPr="005B5E54">
        <w:rPr>
          <w:lang w:val="uk-UA"/>
        </w:rPr>
        <w:t xml:space="preserve">. </w:t>
      </w:r>
      <w:r w:rsidR="00596729">
        <w:rPr>
          <w:color w:val="000000"/>
          <w:lang w:val="uk-UA" w:eastAsia="uk-UA" w:bidi="uk-UA"/>
        </w:rPr>
        <w:t>Р</w:t>
      </w:r>
      <w:r w:rsidR="00800644">
        <w:rPr>
          <w:color w:val="000000"/>
          <w:lang w:val="uk-UA" w:eastAsia="uk-UA" w:bidi="uk-UA"/>
        </w:rPr>
        <w:t xml:space="preserve">ішення про </w:t>
      </w:r>
      <w:proofErr w:type="spellStart"/>
      <w:r w:rsidR="00800644">
        <w:rPr>
          <w:color w:val="000000"/>
          <w:lang w:val="uk-UA" w:eastAsia="uk-UA" w:bidi="uk-UA"/>
        </w:rPr>
        <w:t>перезарахування</w:t>
      </w:r>
      <w:proofErr w:type="spellEnd"/>
      <w:r w:rsidR="00800644">
        <w:rPr>
          <w:color w:val="000000"/>
          <w:lang w:val="uk-UA" w:eastAsia="uk-UA" w:bidi="uk-UA"/>
        </w:rPr>
        <w:t xml:space="preserve"> ОК може бути ухвалено, якщо:</w:t>
      </w:r>
    </w:p>
    <w:p w:rsidR="00800644" w:rsidRDefault="00800644" w:rsidP="00800644">
      <w:pPr>
        <w:pStyle w:val="a6"/>
        <w:numPr>
          <w:ilvl w:val="0"/>
          <w:numId w:val="8"/>
        </w:numPr>
        <w:tabs>
          <w:tab w:val="left" w:pos="1104"/>
        </w:tabs>
        <w:ind w:firstLine="720"/>
        <w:jc w:val="both"/>
      </w:pPr>
      <w:r>
        <w:rPr>
          <w:color w:val="000000"/>
          <w:lang w:val="uk-UA" w:eastAsia="uk-UA" w:bidi="uk-UA"/>
        </w:rPr>
        <w:t xml:space="preserve">назва ОК та форма контролю збігаються повністю, а її загальний обсяг (у кредитах ЄКТС/годинах) у попередньому закладі вищої освіти </w:t>
      </w:r>
      <w:r>
        <w:rPr>
          <w:color w:val="000000"/>
          <w:lang w:val="uk-UA" w:eastAsia="uk-UA" w:bidi="uk-UA"/>
        </w:rPr>
        <w:lastRenderedPageBreak/>
        <w:t xml:space="preserve">становить не менше </w:t>
      </w:r>
      <w:r w:rsidRPr="00096F6B">
        <w:rPr>
          <w:color w:val="000000"/>
          <w:lang w:val="uk-UA" w:eastAsia="uk-UA" w:bidi="uk-UA"/>
        </w:rPr>
        <w:t>75 % від обсягу</w:t>
      </w:r>
      <w:r>
        <w:rPr>
          <w:color w:val="000000"/>
          <w:lang w:val="uk-UA" w:eastAsia="uk-UA" w:bidi="uk-UA"/>
        </w:rPr>
        <w:t xml:space="preserve"> ОК, передбаченого навчальним планом Університету;</w:t>
      </w:r>
    </w:p>
    <w:p w:rsidR="00800644" w:rsidRDefault="00800644" w:rsidP="00800644">
      <w:pPr>
        <w:pStyle w:val="a6"/>
        <w:numPr>
          <w:ilvl w:val="0"/>
          <w:numId w:val="8"/>
        </w:numPr>
        <w:tabs>
          <w:tab w:val="left" w:pos="1104"/>
        </w:tabs>
        <w:ind w:firstLine="720"/>
        <w:jc w:val="both"/>
      </w:pPr>
      <w:r>
        <w:rPr>
          <w:color w:val="000000"/>
          <w:lang w:val="uk-UA" w:eastAsia="uk-UA" w:bidi="uk-UA"/>
        </w:rPr>
        <w:t xml:space="preserve">назви ОК мають несуттєву стилістичну відмінність, але </w:t>
      </w:r>
      <w:r w:rsidR="00C00212">
        <w:rPr>
          <w:color w:val="000000"/>
          <w:lang w:val="uk-UA" w:eastAsia="uk-UA" w:bidi="uk-UA"/>
        </w:rPr>
        <w:t>в</w:t>
      </w:r>
      <w:r>
        <w:rPr>
          <w:color w:val="000000"/>
          <w:lang w:val="uk-UA" w:eastAsia="uk-UA" w:bidi="uk-UA"/>
        </w:rPr>
        <w:t xml:space="preserve"> повному обсязі забезпечують програмні результати навчання;</w:t>
      </w:r>
    </w:p>
    <w:p w:rsidR="00800644" w:rsidRDefault="00800644" w:rsidP="00800644">
      <w:pPr>
        <w:pStyle w:val="a6"/>
        <w:numPr>
          <w:ilvl w:val="0"/>
          <w:numId w:val="8"/>
        </w:numPr>
        <w:tabs>
          <w:tab w:val="left" w:pos="1104"/>
        </w:tabs>
        <w:ind w:firstLine="720"/>
        <w:jc w:val="both"/>
      </w:pPr>
      <w:r>
        <w:rPr>
          <w:color w:val="000000"/>
          <w:lang w:val="uk-UA" w:eastAsia="uk-UA" w:bidi="uk-UA"/>
        </w:rPr>
        <w:t xml:space="preserve">назви ОК мають значні розбіжності, </w:t>
      </w:r>
      <w:r w:rsidR="009F29A9">
        <w:rPr>
          <w:color w:val="000000"/>
          <w:lang w:val="uk-UA" w:eastAsia="uk-UA" w:bidi="uk-UA"/>
        </w:rPr>
        <w:t>однак під час порівняння</w:t>
      </w:r>
      <w:r>
        <w:rPr>
          <w:color w:val="000000"/>
          <w:lang w:val="uk-UA" w:eastAsia="uk-UA" w:bidi="uk-UA"/>
        </w:rPr>
        <w:t xml:space="preserve"> </w:t>
      </w:r>
      <w:r w:rsidRPr="00096F6B">
        <w:rPr>
          <w:lang w:val="uk-UA" w:eastAsia="uk-UA" w:bidi="uk-UA"/>
        </w:rPr>
        <w:t xml:space="preserve">робочих навчальних програм </w:t>
      </w:r>
      <w:r w:rsidR="009F29A9">
        <w:rPr>
          <w:color w:val="000000"/>
          <w:lang w:val="uk-UA" w:eastAsia="uk-UA" w:bidi="uk-UA"/>
        </w:rPr>
        <w:t xml:space="preserve">встановлено, що </w:t>
      </w:r>
      <w:r>
        <w:rPr>
          <w:color w:val="000000"/>
          <w:lang w:val="uk-UA" w:eastAsia="uk-UA" w:bidi="uk-UA"/>
        </w:rPr>
        <w:t>їх зміст збігається, а результати навчання відповідають освітній програмі;</w:t>
      </w:r>
    </w:p>
    <w:p w:rsidR="00D61FC5" w:rsidRPr="00667F63" w:rsidRDefault="00800644" w:rsidP="00667F63">
      <w:pPr>
        <w:pStyle w:val="a6"/>
        <w:numPr>
          <w:ilvl w:val="0"/>
          <w:numId w:val="8"/>
        </w:numPr>
        <w:tabs>
          <w:tab w:val="left" w:pos="1104"/>
        </w:tabs>
        <w:ind w:firstLine="720"/>
        <w:jc w:val="both"/>
      </w:pPr>
      <w:r>
        <w:rPr>
          <w:color w:val="000000"/>
          <w:lang w:val="uk-UA" w:eastAsia="uk-UA" w:bidi="uk-UA"/>
        </w:rPr>
        <w:t>оцінка з навчальної дисципліни виставлена за шкалою, що має не меншу кількість градацій, ніж шкала оцінювання семес</w:t>
      </w:r>
      <w:r w:rsidR="009F29A9">
        <w:rPr>
          <w:color w:val="000000"/>
          <w:lang w:val="uk-UA" w:eastAsia="uk-UA" w:bidi="uk-UA"/>
        </w:rPr>
        <w:t>трового контролю в Університеті.</w:t>
      </w:r>
    </w:p>
    <w:p w:rsidR="004D2409" w:rsidRPr="004D2409" w:rsidRDefault="008816A2" w:rsidP="004D2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F29A9" w:rsidRPr="004D2409">
        <w:rPr>
          <w:rFonts w:ascii="Times New Roman" w:hAnsi="Times New Roman" w:cs="Times New Roman"/>
          <w:sz w:val="28"/>
          <w:szCs w:val="28"/>
          <w:lang w:val="uk-UA"/>
        </w:rPr>
        <w:t>. Експер</w:t>
      </w:r>
      <w:r w:rsidR="004D2409" w:rsidRPr="004D2409">
        <w:rPr>
          <w:rFonts w:ascii="Times New Roman" w:hAnsi="Times New Roman" w:cs="Times New Roman"/>
          <w:sz w:val="28"/>
          <w:szCs w:val="28"/>
          <w:lang w:val="uk-UA"/>
        </w:rPr>
        <w:t xml:space="preserve">тна комісія робить висновок </w:t>
      </w:r>
      <w:r w:rsidR="004D2409" w:rsidRPr="004D2409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про:</w:t>
      </w:r>
    </w:p>
    <w:p w:rsidR="004D2409" w:rsidRDefault="004D2409" w:rsidP="004D2409">
      <w:pPr>
        <w:pStyle w:val="a6"/>
        <w:numPr>
          <w:ilvl w:val="0"/>
          <w:numId w:val="9"/>
        </w:numPr>
        <w:tabs>
          <w:tab w:val="left" w:pos="1009"/>
        </w:tabs>
        <w:ind w:firstLine="720"/>
        <w:jc w:val="both"/>
      </w:pPr>
      <w:r>
        <w:rPr>
          <w:color w:val="000000"/>
          <w:lang w:val="uk-UA" w:eastAsia="uk-UA" w:bidi="uk-UA"/>
        </w:rPr>
        <w:t xml:space="preserve">можливість повного </w:t>
      </w:r>
      <w:proofErr w:type="spellStart"/>
      <w:r>
        <w:rPr>
          <w:color w:val="000000"/>
          <w:lang w:val="uk-UA" w:eastAsia="uk-UA" w:bidi="uk-UA"/>
        </w:rPr>
        <w:t>перезарахування</w:t>
      </w:r>
      <w:proofErr w:type="spellEnd"/>
      <w:r>
        <w:rPr>
          <w:color w:val="000000"/>
          <w:lang w:val="uk-UA" w:eastAsia="uk-UA" w:bidi="uk-UA"/>
        </w:rPr>
        <w:t xml:space="preserve"> ОК; </w:t>
      </w:r>
    </w:p>
    <w:p w:rsidR="004D2409" w:rsidRDefault="004D2409" w:rsidP="004D2409">
      <w:pPr>
        <w:pStyle w:val="a6"/>
        <w:numPr>
          <w:ilvl w:val="0"/>
          <w:numId w:val="9"/>
        </w:numPr>
        <w:tabs>
          <w:tab w:val="left" w:pos="1131"/>
        </w:tabs>
        <w:ind w:firstLine="720"/>
        <w:jc w:val="both"/>
      </w:pPr>
      <w:r>
        <w:rPr>
          <w:color w:val="000000"/>
          <w:lang w:val="uk-UA" w:eastAsia="uk-UA" w:bidi="uk-UA"/>
        </w:rPr>
        <w:t xml:space="preserve">можливість часткового </w:t>
      </w:r>
      <w:proofErr w:type="spellStart"/>
      <w:r>
        <w:rPr>
          <w:color w:val="000000"/>
          <w:lang w:val="uk-UA" w:eastAsia="uk-UA" w:bidi="uk-UA"/>
        </w:rPr>
        <w:t>перезарахування</w:t>
      </w:r>
      <w:proofErr w:type="spellEnd"/>
      <w:r>
        <w:rPr>
          <w:color w:val="000000"/>
          <w:lang w:val="uk-UA" w:eastAsia="uk-UA" w:bidi="uk-UA"/>
        </w:rPr>
        <w:t xml:space="preserve"> ОК (необхідність додаткового вивчення та </w:t>
      </w:r>
      <w:r w:rsidR="00096F6B" w:rsidRPr="00096F6B">
        <w:rPr>
          <w:lang w:val="uk-UA" w:eastAsia="uk-UA" w:bidi="uk-UA"/>
        </w:rPr>
        <w:t>складання</w:t>
      </w:r>
      <w:r w:rsidRPr="00C00212">
        <w:rPr>
          <w:color w:val="FF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за окремими темами (розділами));</w:t>
      </w:r>
    </w:p>
    <w:p w:rsidR="004D2409" w:rsidRDefault="004D2409" w:rsidP="004D2409">
      <w:pPr>
        <w:pStyle w:val="a6"/>
        <w:numPr>
          <w:ilvl w:val="0"/>
          <w:numId w:val="9"/>
        </w:numPr>
        <w:tabs>
          <w:tab w:val="left" w:pos="1009"/>
        </w:tabs>
        <w:ind w:firstLine="720"/>
        <w:jc w:val="both"/>
      </w:pPr>
      <w:r>
        <w:rPr>
          <w:color w:val="000000"/>
          <w:lang w:val="uk-UA" w:eastAsia="uk-UA" w:bidi="uk-UA"/>
        </w:rPr>
        <w:t xml:space="preserve">неможливість </w:t>
      </w:r>
      <w:proofErr w:type="spellStart"/>
      <w:r>
        <w:rPr>
          <w:color w:val="000000"/>
          <w:lang w:val="uk-UA" w:eastAsia="uk-UA" w:bidi="uk-UA"/>
        </w:rPr>
        <w:t>перезарахування</w:t>
      </w:r>
      <w:proofErr w:type="spellEnd"/>
      <w:r>
        <w:rPr>
          <w:color w:val="000000"/>
          <w:lang w:val="uk-UA" w:eastAsia="uk-UA" w:bidi="uk-UA"/>
        </w:rPr>
        <w:t xml:space="preserve"> ОК.</w:t>
      </w:r>
    </w:p>
    <w:p w:rsidR="004D2409" w:rsidRDefault="009F29A9" w:rsidP="004D2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Рішення Е</w:t>
      </w:r>
      <w:r w:rsidRPr="005B5E54">
        <w:rPr>
          <w:rFonts w:ascii="Times New Roman" w:hAnsi="Times New Roman" w:cs="Times New Roman"/>
          <w:sz w:val="28"/>
          <w:lang w:val="uk-UA"/>
        </w:rPr>
        <w:t>кспертної комісії оформлюється протоколом (</w:t>
      </w:r>
      <w:r w:rsidRPr="004D2409">
        <w:rPr>
          <w:rFonts w:ascii="Times New Roman" w:hAnsi="Times New Roman" w:cs="Times New Roman"/>
          <w:b/>
          <w:sz w:val="28"/>
          <w:lang w:val="uk-UA"/>
        </w:rPr>
        <w:t>додаток 1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). </w:t>
      </w:r>
    </w:p>
    <w:p w:rsidR="008816A2" w:rsidRDefault="008816A2" w:rsidP="00881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96F6B">
        <w:rPr>
          <w:rFonts w:ascii="Times New Roman" w:hAnsi="Times New Roman" w:cs="Times New Roman"/>
          <w:sz w:val="28"/>
          <w:lang w:val="uk-UA"/>
        </w:rPr>
        <w:t>10</w:t>
      </w:r>
      <w:r w:rsidR="004D2409" w:rsidRPr="00096F6B">
        <w:rPr>
          <w:rFonts w:ascii="Times New Roman" w:hAnsi="Times New Roman" w:cs="Times New Roman"/>
          <w:sz w:val="28"/>
          <w:lang w:val="uk-UA"/>
        </w:rPr>
        <w:t xml:space="preserve">. </w:t>
      </w:r>
      <w:r w:rsidR="00096F6B" w:rsidRPr="00096F6B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Додаткове</w:t>
      </w:r>
      <w:r w:rsidR="004D2409" w:rsidRPr="00096F6B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96F6B" w:rsidRPr="00096F6B">
        <w:rPr>
          <w:rFonts w:ascii="Times New Roman" w:hAnsi="Times New Roman" w:cs="Times New Roman"/>
          <w:sz w:val="28"/>
          <w:szCs w:val="28"/>
          <w:lang w:val="uk-UA" w:eastAsia="uk-UA" w:bidi="uk-UA"/>
        </w:rPr>
        <w:t>складання</w:t>
      </w:r>
      <w:r w:rsidR="004D2409" w:rsidRPr="00096F6B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 окремими темами (розділами) ОК, які не вивчалися здобувачем вищої освіти раніше або вивчалися у неповному обсязі, може проводитися у формі співбесіди, письмової контрольної роботи або тестування.</w:t>
      </w:r>
    </w:p>
    <w:p w:rsidR="008816A2" w:rsidRPr="008816A2" w:rsidRDefault="008816A2" w:rsidP="00881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816A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11. </w:t>
      </w:r>
      <w:r w:rsidR="001035EC" w:rsidRPr="008816A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Здобувачі, яким визначена академічна різниця, мають ліквідувати її упродовж першого місяця навчання в Університеті. Через об’єктивні причини, підтверджені відповідним документом, термін ліквідації академічної різниці може бути подовжений розпорядженням першого проректора Університету. </w:t>
      </w:r>
    </w:p>
    <w:p w:rsidR="008816A2" w:rsidRPr="008816A2" w:rsidRDefault="008816A2" w:rsidP="00881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816A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12</w:t>
      </w:r>
      <w:r w:rsidRPr="00096F6B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9F29A9" w:rsidRPr="00096F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Зарахування обов’язкових </w:t>
      </w:r>
      <w:r w:rsidR="004D2409" w:rsidRPr="00096F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ОК</w:t>
      </w:r>
      <w:r w:rsidR="009F29A9" w:rsidRPr="00096F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або їх складників здійснюється за умови, що під час попередніх періодів навчання особа здобула передбачені освітньою програмою або аналогічні результати навчання. Як вибіркові (за заявою здобувача вищої освіти) зараховуються </w:t>
      </w:r>
      <w:r w:rsidR="004D2409" w:rsidRPr="00096F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ОК</w:t>
      </w:r>
      <w:r w:rsidR="009F29A9" w:rsidRPr="00096F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попереднього навчання, що не можуть бути зараховані як обов’язкові.</w:t>
      </w:r>
    </w:p>
    <w:p w:rsidR="009F29A9" w:rsidRPr="008816A2" w:rsidRDefault="008816A2" w:rsidP="00881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816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13. </w:t>
      </w:r>
      <w:r w:rsidR="009F29A9" w:rsidRPr="008816A2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proofErr w:type="spellStart"/>
      <w:r w:rsidR="009F29A9" w:rsidRPr="008816A2">
        <w:rPr>
          <w:rFonts w:ascii="Times New Roman" w:hAnsi="Times New Roman" w:cs="Times New Roman"/>
          <w:sz w:val="28"/>
          <w:szCs w:val="28"/>
          <w:lang w:val="uk-UA"/>
        </w:rPr>
        <w:t>перезарахуванні</w:t>
      </w:r>
      <w:proofErr w:type="spellEnd"/>
      <w:r w:rsidR="009F29A9" w:rsidRPr="00881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409" w:rsidRPr="008816A2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9F29A9" w:rsidRPr="008816A2">
        <w:rPr>
          <w:rFonts w:ascii="Times New Roman" w:hAnsi="Times New Roman" w:cs="Times New Roman"/>
          <w:sz w:val="28"/>
          <w:szCs w:val="28"/>
          <w:lang w:val="uk-UA"/>
        </w:rPr>
        <w:t xml:space="preserve"> зберігається раніше здобута позитивна оцінка навчальних досягнень здобувача вищої освіти. За необхідності (</w:t>
      </w:r>
      <w:r w:rsidR="004D2409" w:rsidRPr="008816A2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9F29A9" w:rsidRPr="008816A2">
        <w:rPr>
          <w:rFonts w:ascii="Times New Roman" w:hAnsi="Times New Roman" w:cs="Times New Roman"/>
          <w:sz w:val="28"/>
          <w:szCs w:val="28"/>
          <w:lang w:val="uk-UA"/>
        </w:rPr>
        <w:t xml:space="preserve"> вивчався здобувачем вищої освіти в закладах вищої освіти (у тому числі іноземних закладах вищої освіти), де не використовується (не використовувалась) кредитно-трансферна система оцінювання) оцінка, одержана здобувачем вищої освіти, переводиться за шкалою ECTS та 100-бальною шкалою відповідно до чинної в Університеті системи оцінювання за мінімальними значенням: </w:t>
      </w:r>
    </w:p>
    <w:p w:rsidR="009F29A9" w:rsidRPr="005B5E54" w:rsidRDefault="009F29A9" w:rsidP="009F29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B5E54">
        <w:rPr>
          <w:rFonts w:ascii="Times New Roman" w:hAnsi="Times New Roman" w:cs="Times New Roman"/>
          <w:b/>
          <w:sz w:val="28"/>
          <w:lang w:val="uk-UA"/>
        </w:rPr>
        <w:t xml:space="preserve">Шкала переведення освітніх компонентів, відповідно до чинної в  Університеті системи оцінювання  </w:t>
      </w:r>
    </w:p>
    <w:p w:rsidR="009F29A9" w:rsidRPr="005B5E54" w:rsidRDefault="009F29A9" w:rsidP="009F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F29A9" w:rsidRPr="005B5E54" w:rsidTr="00396AD3">
        <w:tc>
          <w:tcPr>
            <w:tcW w:w="2336" w:type="dxa"/>
          </w:tcPr>
          <w:p w:rsidR="009F29A9" w:rsidRPr="005B5E54" w:rsidRDefault="009F29A9" w:rsidP="00396AD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Попередня оцінка в наданому </w:t>
            </w:r>
            <w:r w:rsidRPr="005B5E54">
              <w:rPr>
                <w:rFonts w:ascii="Times New Roman" w:hAnsi="Times New Roman" w:cs="Times New Roman"/>
                <w:b/>
                <w:sz w:val="28"/>
                <w:lang w:val="uk-UA"/>
              </w:rPr>
              <w:lastRenderedPageBreak/>
              <w:t>документі про освіту</w:t>
            </w:r>
          </w:p>
        </w:tc>
        <w:tc>
          <w:tcPr>
            <w:tcW w:w="2336" w:type="dxa"/>
          </w:tcPr>
          <w:p w:rsidR="009F29A9" w:rsidRPr="005B5E54" w:rsidRDefault="009F29A9" w:rsidP="00396AD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b/>
                <w:sz w:val="28"/>
                <w:lang w:val="uk-UA"/>
              </w:rPr>
              <w:lastRenderedPageBreak/>
              <w:t>Оцінка в балах</w:t>
            </w:r>
          </w:p>
        </w:tc>
        <w:tc>
          <w:tcPr>
            <w:tcW w:w="2336" w:type="dxa"/>
          </w:tcPr>
          <w:p w:rsidR="009F29A9" w:rsidRPr="005B5E54" w:rsidRDefault="009F29A9" w:rsidP="00396AD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Оцінка за шкалою в Університеті </w:t>
            </w:r>
          </w:p>
          <w:p w:rsidR="009F29A9" w:rsidRPr="005B5E54" w:rsidRDefault="009F29A9" w:rsidP="00396AD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337" w:type="dxa"/>
          </w:tcPr>
          <w:p w:rsidR="009F29A9" w:rsidRPr="005B5E54" w:rsidRDefault="009F29A9" w:rsidP="00396AD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Оцінка за шкалою ЄКТС </w:t>
            </w:r>
          </w:p>
          <w:p w:rsidR="009F29A9" w:rsidRPr="005B5E54" w:rsidRDefault="009F29A9" w:rsidP="00396AD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F29A9" w:rsidRPr="005B5E54" w:rsidTr="00396AD3">
        <w:tc>
          <w:tcPr>
            <w:tcW w:w="9345" w:type="dxa"/>
            <w:gridSpan w:val="4"/>
          </w:tcPr>
          <w:p w:rsidR="009F29A9" w:rsidRPr="005B5E54" w:rsidRDefault="009F29A9" w:rsidP="00396AD3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Екзамен </w:t>
            </w:r>
          </w:p>
        </w:tc>
      </w:tr>
      <w:tr w:rsidR="009F29A9" w:rsidRPr="005B5E54" w:rsidTr="00396AD3">
        <w:tc>
          <w:tcPr>
            <w:tcW w:w="2336" w:type="dxa"/>
          </w:tcPr>
          <w:p w:rsidR="009F29A9" w:rsidRPr="005B5E54" w:rsidRDefault="009F29A9" w:rsidP="00396AD3">
            <w:pPr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Відмінно (5) </w:t>
            </w:r>
          </w:p>
        </w:tc>
        <w:tc>
          <w:tcPr>
            <w:tcW w:w="2336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sz w:val="28"/>
                <w:lang w:val="uk-UA"/>
              </w:rPr>
              <w:t>90</w:t>
            </w:r>
          </w:p>
        </w:tc>
        <w:tc>
          <w:tcPr>
            <w:tcW w:w="2336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Відмінно</w:t>
            </w:r>
          </w:p>
        </w:tc>
        <w:tc>
          <w:tcPr>
            <w:tcW w:w="2337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А</w:t>
            </w:r>
          </w:p>
        </w:tc>
      </w:tr>
      <w:tr w:rsidR="009F29A9" w:rsidRPr="005B5E54" w:rsidTr="00396AD3">
        <w:tc>
          <w:tcPr>
            <w:tcW w:w="2336" w:type="dxa"/>
          </w:tcPr>
          <w:p w:rsidR="009F29A9" w:rsidRPr="005B5E54" w:rsidRDefault="009F29A9" w:rsidP="00396AD3">
            <w:pPr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Добре (4) </w:t>
            </w:r>
          </w:p>
          <w:p w:rsidR="009F29A9" w:rsidRPr="005B5E54" w:rsidRDefault="009F29A9" w:rsidP="00396AD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336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74</w:t>
            </w:r>
          </w:p>
        </w:tc>
        <w:tc>
          <w:tcPr>
            <w:tcW w:w="2336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Добре</w:t>
            </w:r>
          </w:p>
        </w:tc>
        <w:tc>
          <w:tcPr>
            <w:tcW w:w="2337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С</w:t>
            </w:r>
          </w:p>
        </w:tc>
      </w:tr>
      <w:tr w:rsidR="009F29A9" w:rsidRPr="005B5E54" w:rsidTr="00396AD3">
        <w:tc>
          <w:tcPr>
            <w:tcW w:w="2336" w:type="dxa"/>
          </w:tcPr>
          <w:p w:rsidR="009F29A9" w:rsidRPr="005B5E54" w:rsidRDefault="009F29A9" w:rsidP="00396AD3">
            <w:pPr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Задовільно (3) </w:t>
            </w:r>
          </w:p>
          <w:p w:rsidR="009F29A9" w:rsidRPr="005B5E54" w:rsidRDefault="009F29A9" w:rsidP="00396AD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336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60</w:t>
            </w:r>
          </w:p>
        </w:tc>
        <w:tc>
          <w:tcPr>
            <w:tcW w:w="2336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Задовільно</w:t>
            </w:r>
          </w:p>
        </w:tc>
        <w:tc>
          <w:tcPr>
            <w:tcW w:w="2337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Е</w:t>
            </w:r>
          </w:p>
        </w:tc>
      </w:tr>
      <w:tr w:rsidR="009F29A9" w:rsidRPr="005B5E54" w:rsidTr="00396AD3">
        <w:tc>
          <w:tcPr>
            <w:tcW w:w="9345" w:type="dxa"/>
            <w:gridSpan w:val="4"/>
          </w:tcPr>
          <w:p w:rsidR="009F29A9" w:rsidRPr="005B5E54" w:rsidRDefault="009F29A9" w:rsidP="00396AD3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Залік </w:t>
            </w:r>
          </w:p>
        </w:tc>
      </w:tr>
      <w:tr w:rsidR="009F29A9" w:rsidRPr="005B5E54" w:rsidTr="00396AD3">
        <w:tc>
          <w:tcPr>
            <w:tcW w:w="2336" w:type="dxa"/>
          </w:tcPr>
          <w:p w:rsidR="009F29A9" w:rsidRPr="005B5E54" w:rsidRDefault="009F29A9" w:rsidP="00396AD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Зараховано</w:t>
            </w:r>
          </w:p>
        </w:tc>
        <w:tc>
          <w:tcPr>
            <w:tcW w:w="2336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60</w:t>
            </w:r>
          </w:p>
        </w:tc>
        <w:tc>
          <w:tcPr>
            <w:tcW w:w="2336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Зараховано</w:t>
            </w:r>
          </w:p>
        </w:tc>
        <w:tc>
          <w:tcPr>
            <w:tcW w:w="2337" w:type="dxa"/>
          </w:tcPr>
          <w:p w:rsidR="009F29A9" w:rsidRPr="005B5E54" w:rsidRDefault="009F29A9" w:rsidP="00396AD3">
            <w:pPr>
              <w:jc w:val="center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5B5E54">
              <w:rPr>
                <w:rFonts w:ascii="Times New Roman" w:hAnsi="Times New Roman" w:cs="Times New Roman"/>
                <w:i/>
                <w:sz w:val="28"/>
                <w:lang w:val="uk-UA"/>
              </w:rPr>
              <w:t>Е</w:t>
            </w:r>
          </w:p>
        </w:tc>
      </w:tr>
    </w:tbl>
    <w:p w:rsidR="009F29A9" w:rsidRPr="005B5E54" w:rsidRDefault="009F29A9" w:rsidP="009F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9F29A9" w:rsidRPr="005B5E54" w:rsidRDefault="001035EC" w:rsidP="009F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14</w:t>
      </w:r>
      <w:r w:rsidR="009F29A9">
        <w:rPr>
          <w:rFonts w:ascii="Times New Roman" w:hAnsi="Times New Roman" w:cs="Times New Roman"/>
          <w:sz w:val="28"/>
          <w:lang w:val="uk-UA"/>
        </w:rPr>
        <w:t xml:space="preserve">. </w:t>
      </w:r>
      <w:r w:rsidR="009F29A9" w:rsidRPr="005B5E54">
        <w:rPr>
          <w:rFonts w:ascii="Times New Roman" w:hAnsi="Times New Roman" w:cs="Times New Roman"/>
          <w:sz w:val="28"/>
          <w:lang w:val="uk-UA"/>
        </w:rPr>
        <w:t xml:space="preserve">Якщо оцінка з </w:t>
      </w:r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="00370D27" w:rsidRPr="005B5E54">
        <w:rPr>
          <w:rFonts w:ascii="Times New Roman" w:hAnsi="Times New Roman" w:cs="Times New Roman"/>
          <w:sz w:val="28"/>
          <w:lang w:val="uk-UA"/>
        </w:rPr>
        <w:t xml:space="preserve"> </w:t>
      </w:r>
      <w:r w:rsidR="009F29A9" w:rsidRPr="005B5E54">
        <w:rPr>
          <w:rFonts w:ascii="Times New Roman" w:hAnsi="Times New Roman" w:cs="Times New Roman"/>
          <w:sz w:val="28"/>
          <w:lang w:val="uk-UA"/>
        </w:rPr>
        <w:t xml:space="preserve">складається з декількох оцінок за окремі семестри або оцінок із декількох </w:t>
      </w:r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="009F29A9" w:rsidRPr="005B5E54">
        <w:rPr>
          <w:rFonts w:ascii="Times New Roman" w:hAnsi="Times New Roman" w:cs="Times New Roman"/>
          <w:sz w:val="28"/>
          <w:lang w:val="uk-UA"/>
        </w:rPr>
        <w:t xml:space="preserve">, то виставляється середня арифметична оцінка успішності з урахуванням обсягів відповідних складових. При </w:t>
      </w:r>
      <w:proofErr w:type="spellStart"/>
      <w:r w:rsidR="009F29A9" w:rsidRPr="005B5E54">
        <w:rPr>
          <w:rFonts w:ascii="Times New Roman" w:hAnsi="Times New Roman" w:cs="Times New Roman"/>
          <w:sz w:val="28"/>
          <w:lang w:val="uk-UA"/>
        </w:rPr>
        <w:t>перезарахуванні</w:t>
      </w:r>
      <w:proofErr w:type="spellEnd"/>
      <w:r w:rsidR="009F29A9" w:rsidRPr="005B5E54">
        <w:rPr>
          <w:rFonts w:ascii="Times New Roman" w:hAnsi="Times New Roman" w:cs="Times New Roman"/>
          <w:sz w:val="28"/>
          <w:lang w:val="uk-UA"/>
        </w:rPr>
        <w:t xml:space="preserve"> форм підсумкового контролю з </w:t>
      </w:r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="00370D27" w:rsidRPr="005B5E54">
        <w:rPr>
          <w:rFonts w:ascii="Times New Roman" w:hAnsi="Times New Roman" w:cs="Times New Roman"/>
          <w:sz w:val="28"/>
          <w:lang w:val="uk-UA"/>
        </w:rPr>
        <w:t xml:space="preserve"> </w:t>
      </w:r>
      <w:r w:rsidR="009F29A9" w:rsidRPr="005B5E54">
        <w:rPr>
          <w:rFonts w:ascii="Times New Roman" w:hAnsi="Times New Roman" w:cs="Times New Roman"/>
          <w:sz w:val="28"/>
          <w:lang w:val="uk-UA"/>
        </w:rPr>
        <w:t xml:space="preserve">екзамен, складений у іншому закладі, може бути зарахований як залік з відповідною оцінкою за шкалою ECTS; залік, якщо він був оцінений за шкалою ECTS, може бути </w:t>
      </w:r>
      <w:proofErr w:type="spellStart"/>
      <w:r w:rsidR="009F29A9" w:rsidRPr="005B5E54">
        <w:rPr>
          <w:rFonts w:ascii="Times New Roman" w:hAnsi="Times New Roman" w:cs="Times New Roman"/>
          <w:sz w:val="28"/>
          <w:lang w:val="uk-UA"/>
        </w:rPr>
        <w:t>перезарахований</w:t>
      </w:r>
      <w:proofErr w:type="spellEnd"/>
      <w:r w:rsidR="009F29A9" w:rsidRPr="005B5E54">
        <w:rPr>
          <w:rFonts w:ascii="Times New Roman" w:hAnsi="Times New Roman" w:cs="Times New Roman"/>
          <w:sz w:val="28"/>
          <w:lang w:val="uk-UA"/>
        </w:rPr>
        <w:t xml:space="preserve"> як іспит відповідною оцінкою за шкалою ECTS з переведенням в національну шкалу.</w:t>
      </w:r>
    </w:p>
    <w:p w:rsidR="009F29A9" w:rsidRDefault="001035EC" w:rsidP="009F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15</w:t>
      </w:r>
      <w:r w:rsidR="009F29A9" w:rsidRPr="005B5E54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9F29A9" w:rsidRPr="005B5E54">
        <w:rPr>
          <w:rFonts w:ascii="Times New Roman" w:hAnsi="Times New Roman" w:cs="Times New Roman"/>
          <w:sz w:val="28"/>
          <w:lang w:val="uk-UA"/>
        </w:rPr>
        <w:t>Перезараховані</w:t>
      </w:r>
      <w:proofErr w:type="spellEnd"/>
      <w:r w:rsidR="009F29A9" w:rsidRPr="005B5E54">
        <w:rPr>
          <w:rFonts w:ascii="Times New Roman" w:hAnsi="Times New Roman" w:cs="Times New Roman"/>
          <w:sz w:val="28"/>
          <w:lang w:val="uk-UA"/>
        </w:rPr>
        <w:t xml:space="preserve"> </w:t>
      </w:r>
      <w:r w:rsidR="00667F63">
        <w:rPr>
          <w:rFonts w:ascii="Times New Roman" w:hAnsi="Times New Roman" w:cs="Times New Roman"/>
          <w:sz w:val="28"/>
          <w:lang w:val="uk-UA"/>
        </w:rPr>
        <w:t>ОК</w:t>
      </w:r>
      <w:r w:rsidR="009F29A9" w:rsidRPr="005B5E54">
        <w:rPr>
          <w:rFonts w:ascii="Times New Roman" w:hAnsi="Times New Roman" w:cs="Times New Roman"/>
          <w:sz w:val="28"/>
          <w:lang w:val="uk-UA"/>
        </w:rPr>
        <w:t xml:space="preserve"> та відповідні кредити фіксуються у індивідуальному навчальному плані здобувача вищої освіти/індивідуальному плані </w:t>
      </w:r>
      <w:proofErr w:type="spellStart"/>
      <w:r w:rsidR="009F29A9" w:rsidRPr="005B5E54">
        <w:rPr>
          <w:rFonts w:ascii="Times New Roman" w:hAnsi="Times New Roman" w:cs="Times New Roman"/>
          <w:sz w:val="28"/>
          <w:lang w:val="uk-UA"/>
        </w:rPr>
        <w:t>освітньо</w:t>
      </w:r>
      <w:proofErr w:type="spellEnd"/>
      <w:r w:rsidR="009F29A9" w:rsidRPr="005B5E54">
        <w:rPr>
          <w:rFonts w:ascii="Times New Roman" w:hAnsi="Times New Roman" w:cs="Times New Roman"/>
          <w:sz w:val="28"/>
          <w:lang w:val="uk-UA"/>
        </w:rPr>
        <w:t xml:space="preserve">-наукової роботи аспіранта. </w:t>
      </w:r>
    </w:p>
    <w:p w:rsidR="008816A2" w:rsidRDefault="008816A2" w:rsidP="00D9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8816A2" w:rsidRPr="005B5E54" w:rsidRDefault="008816A2" w:rsidP="00881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16. 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Визнання і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результатів навчання </w:t>
      </w:r>
      <w:r>
        <w:rPr>
          <w:rFonts w:ascii="Times New Roman" w:hAnsi="Times New Roman" w:cs="Times New Roman"/>
          <w:sz w:val="28"/>
          <w:lang w:val="uk-UA"/>
        </w:rPr>
        <w:t>ОК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 та відповідних кредитів ECTS </w:t>
      </w:r>
      <w:r>
        <w:rPr>
          <w:rFonts w:ascii="Times New Roman" w:hAnsi="Times New Roman" w:cs="Times New Roman"/>
          <w:sz w:val="28"/>
          <w:lang w:val="uk-UA"/>
        </w:rPr>
        <w:t xml:space="preserve">за неформальною/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інформальною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освітою, академічною мобільність, стажуванням 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здійснюється за заявою здобувача вищої освіти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Pr="00096F6B">
        <w:rPr>
          <w:rFonts w:ascii="Times New Roman" w:hAnsi="Times New Roman" w:cs="Times New Roman"/>
          <w:sz w:val="28"/>
          <w:lang w:val="uk-UA"/>
        </w:rPr>
        <w:t>договору або сертифікату про практику/стажування,  або документів (сертифікатів, свідоцтво тощо), які підтверджують результати навчання, здобуті у неформальній освіті (Порядок та процедури визнання результатів неформальної освіти визначається Положенням про порядок визнання результатів навчання, отриманих у процесі неформальної освіти в Мелітопольському державному педагогічному університеті імені Богдана).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8816A2" w:rsidRPr="00D92C1A" w:rsidRDefault="008816A2" w:rsidP="00881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17</w:t>
      </w:r>
      <w:r w:rsidRPr="00D92C1A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D92C1A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D92C1A">
        <w:rPr>
          <w:rFonts w:ascii="Times New Roman" w:hAnsi="Times New Roman" w:cs="Times New Roman"/>
          <w:sz w:val="28"/>
          <w:lang w:val="uk-UA"/>
        </w:rPr>
        <w:t xml:space="preserve"> кредитів учасників академічної мобільності відбувається автоматично, якщо у договорі про навчання або практику/стажування, укладеному до початку періоду мобільності між здобувачем вищої освіти, Університетом та закладом вищої освіти, що приймає, зазначена домовленість щодо організації кредитної мобільності та визнання кредитів. </w:t>
      </w:r>
    </w:p>
    <w:p w:rsidR="008816A2" w:rsidRDefault="008816A2" w:rsidP="00881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</w:t>
      </w:r>
      <w:r w:rsidRPr="00D92C1A">
        <w:rPr>
          <w:rFonts w:ascii="Times New Roman" w:hAnsi="Times New Roman" w:cs="Times New Roman"/>
          <w:sz w:val="28"/>
          <w:lang w:val="uk-UA"/>
        </w:rPr>
        <w:t xml:space="preserve">. Для учасника академічної мобільності, який подає до Університету академічну довідку про зараховані результати навчання в іншому закладі вищої освіти, з яким Університет немає чинного договору про співпрацю, </w:t>
      </w:r>
      <w:proofErr w:type="spellStart"/>
      <w:r w:rsidRPr="00D92C1A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D92C1A">
        <w:rPr>
          <w:rFonts w:ascii="Times New Roman" w:hAnsi="Times New Roman" w:cs="Times New Roman"/>
          <w:sz w:val="28"/>
          <w:lang w:val="uk-UA"/>
        </w:rPr>
        <w:t xml:space="preserve"> кредитів здійснюється відповідно до цього Положення. Порядок здійснення експертного оцінювання і визнання навчальних досягнень, кваліфікацій учасників програм академічної мобільності Університету на території </w:t>
      </w:r>
      <w:r>
        <w:rPr>
          <w:rFonts w:ascii="Times New Roman" w:hAnsi="Times New Roman" w:cs="Times New Roman"/>
          <w:sz w:val="28"/>
          <w:lang w:val="uk-UA"/>
        </w:rPr>
        <w:t>України чи поза її межами –</w:t>
      </w:r>
      <w:r w:rsidRPr="00D92C1A">
        <w:rPr>
          <w:rFonts w:ascii="Times New Roman" w:hAnsi="Times New Roman" w:cs="Times New Roman"/>
          <w:sz w:val="28"/>
          <w:lang w:val="uk-UA"/>
        </w:rPr>
        <w:t xml:space="preserve"> здобувачів освітніх </w:t>
      </w:r>
      <w:r w:rsidRPr="00D92C1A">
        <w:rPr>
          <w:rFonts w:ascii="Times New Roman" w:hAnsi="Times New Roman" w:cs="Times New Roman"/>
          <w:sz w:val="28"/>
          <w:lang w:val="uk-UA"/>
        </w:rPr>
        <w:lastRenderedPageBreak/>
        <w:t xml:space="preserve">ступенів бакалавра, магістра, доктора філософії, здобувачів наукового ступеню доктора наук, науково-педагогічних, наукових та педагогічних працівників й інших учасників освітнього процесу регламентується Положенням про порядок реалізації права на академічну мобільність учасників освітнього процесу Мелітопольського державного педагогічного університету імені Богдана Хмельницького. </w:t>
      </w:r>
    </w:p>
    <w:p w:rsidR="008816A2" w:rsidRPr="00D92C1A" w:rsidRDefault="008816A2" w:rsidP="00D9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D92C1A" w:rsidRPr="005B5E54" w:rsidRDefault="00D92C1A" w:rsidP="009F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110CD" w:rsidRDefault="005110CD" w:rsidP="005110CD">
      <w:pPr>
        <w:widowControl w:val="0"/>
        <w:tabs>
          <w:tab w:val="left" w:pos="2102"/>
        </w:tabs>
        <w:spacing w:after="0" w:line="240" w:lineRule="auto"/>
        <w:ind w:left="18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5110CD" w:rsidRDefault="008816A2" w:rsidP="005110CD">
      <w:pPr>
        <w:widowControl w:val="0"/>
        <w:tabs>
          <w:tab w:val="left" w:pos="709"/>
          <w:tab w:val="left" w:pos="2102"/>
        </w:tabs>
        <w:spacing w:after="0" w:line="240" w:lineRule="auto"/>
        <w:ind w:left="709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3. </w:t>
      </w:r>
      <w:r w:rsidR="005110CD" w:rsidRPr="00511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ПЕРЕЗАРАХУВАННЯ РЕЗУЛЬТАТІВ НАВЧАННЯ ТА ОСВІТНІХ</w:t>
      </w:r>
      <w:r w:rsidR="00511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110CD" w:rsidRPr="00511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КОМПОНЕНТІВ ПІД ЧАС ВСТУПУ</w:t>
      </w:r>
    </w:p>
    <w:p w:rsidR="00667F63" w:rsidRPr="005110CD" w:rsidRDefault="00667F63" w:rsidP="005110CD">
      <w:pPr>
        <w:widowControl w:val="0"/>
        <w:tabs>
          <w:tab w:val="left" w:pos="709"/>
          <w:tab w:val="left" w:pos="2102"/>
        </w:tabs>
        <w:spacing w:after="0" w:line="240" w:lineRule="auto"/>
        <w:ind w:left="709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5110CD" w:rsidRPr="005110CD" w:rsidRDefault="00096F6B" w:rsidP="005110C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Особ</w:t>
      </w:r>
      <w:r w:rsidRPr="005110CD">
        <w:rPr>
          <w:rFonts w:ascii="Times New Roman" w:hAnsi="Times New Roman" w:cs="Times New Roman"/>
          <w:sz w:val="28"/>
          <w:lang w:val="uk-UA"/>
        </w:rPr>
        <w:t xml:space="preserve">ам, які вступили </w:t>
      </w:r>
      <w:r>
        <w:rPr>
          <w:rFonts w:ascii="Times New Roman" w:hAnsi="Times New Roman" w:cs="Times New Roman"/>
          <w:sz w:val="28"/>
          <w:lang w:val="uk-UA"/>
        </w:rPr>
        <w:t>до Університету на освітню програму</w:t>
      </w:r>
      <w:r w:rsidR="005110CD" w:rsidRPr="005110CD">
        <w:rPr>
          <w:rFonts w:ascii="Times New Roman" w:hAnsi="Times New Roman" w:cs="Times New Roman"/>
          <w:sz w:val="28"/>
          <w:lang w:val="uk-UA"/>
        </w:rPr>
        <w:t xml:space="preserve"> на перший курс (зі скороченим терміном навчання) на базі здобутого освітнього ступеня молодшого бакалавра або на осн</w:t>
      </w:r>
      <w:r w:rsidR="005110CD">
        <w:rPr>
          <w:rFonts w:ascii="Times New Roman" w:hAnsi="Times New Roman" w:cs="Times New Roman"/>
          <w:sz w:val="28"/>
          <w:lang w:val="uk-UA"/>
        </w:rPr>
        <w:t xml:space="preserve">ові фахової </w:t>
      </w:r>
      <w:proofErr w:type="spellStart"/>
      <w:r w:rsidR="005110CD">
        <w:rPr>
          <w:rFonts w:ascii="Times New Roman" w:hAnsi="Times New Roman" w:cs="Times New Roman"/>
          <w:sz w:val="28"/>
          <w:lang w:val="uk-UA"/>
        </w:rPr>
        <w:t>передвищої</w:t>
      </w:r>
      <w:proofErr w:type="spellEnd"/>
      <w:r w:rsidR="005110CD">
        <w:rPr>
          <w:rFonts w:ascii="Times New Roman" w:hAnsi="Times New Roman" w:cs="Times New Roman"/>
          <w:sz w:val="28"/>
          <w:lang w:val="uk-UA"/>
        </w:rPr>
        <w:t xml:space="preserve"> освіти, У</w:t>
      </w:r>
      <w:r w:rsidR="005110CD" w:rsidRPr="005110CD">
        <w:rPr>
          <w:rFonts w:ascii="Times New Roman" w:hAnsi="Times New Roman" w:cs="Times New Roman"/>
          <w:sz w:val="28"/>
          <w:lang w:val="uk-UA"/>
        </w:rPr>
        <w:t xml:space="preserve">ніверситет визнає результати навчання та </w:t>
      </w:r>
      <w:proofErr w:type="spellStart"/>
      <w:r w:rsidR="005110CD" w:rsidRPr="005110CD">
        <w:rPr>
          <w:rFonts w:ascii="Times New Roman" w:hAnsi="Times New Roman" w:cs="Times New Roman"/>
          <w:sz w:val="28"/>
          <w:lang w:val="uk-UA"/>
        </w:rPr>
        <w:t>перезараховує</w:t>
      </w:r>
      <w:proofErr w:type="spellEnd"/>
      <w:r w:rsidR="005110CD" w:rsidRPr="005110CD">
        <w:rPr>
          <w:rFonts w:ascii="Times New Roman" w:hAnsi="Times New Roman" w:cs="Times New Roman"/>
          <w:sz w:val="28"/>
          <w:lang w:val="uk-UA"/>
        </w:rPr>
        <w:t xml:space="preserve"> кредити ECTS, максимальний обсяг яких визначено стандартом вищої освіти (за відсутності стандарту – не більше </w:t>
      </w:r>
      <w:r w:rsidR="005110CD" w:rsidRPr="00370D27">
        <w:rPr>
          <w:rFonts w:ascii="Times New Roman" w:hAnsi="Times New Roman" w:cs="Times New Roman"/>
          <w:sz w:val="28"/>
          <w:lang w:val="uk-UA"/>
        </w:rPr>
        <w:t>60</w:t>
      </w:r>
      <w:r w:rsidR="005110CD" w:rsidRPr="005110CD">
        <w:rPr>
          <w:rFonts w:ascii="Times New Roman" w:hAnsi="Times New Roman" w:cs="Times New Roman"/>
          <w:sz w:val="28"/>
          <w:lang w:val="uk-UA"/>
        </w:rPr>
        <w:t xml:space="preserve"> кредитів ECTS). </w:t>
      </w:r>
    </w:p>
    <w:p w:rsidR="000F7B46" w:rsidRDefault="00CF6A32" w:rsidP="000F7B46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CF6A32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CF6A32">
        <w:rPr>
          <w:rFonts w:ascii="Times New Roman" w:hAnsi="Times New Roman" w:cs="Times New Roman"/>
          <w:sz w:val="28"/>
          <w:lang w:val="uk-UA"/>
        </w:rPr>
        <w:t xml:space="preserve"> результатів навчання зі складених здобувачем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F6A32">
        <w:rPr>
          <w:rFonts w:ascii="Times New Roman" w:hAnsi="Times New Roman" w:cs="Times New Roman"/>
          <w:sz w:val="28"/>
          <w:lang w:val="uk-UA"/>
        </w:rPr>
        <w:t xml:space="preserve">вищої освіти </w:t>
      </w:r>
      <w:r>
        <w:rPr>
          <w:rFonts w:ascii="Times New Roman" w:hAnsi="Times New Roman" w:cs="Times New Roman"/>
          <w:sz w:val="28"/>
          <w:lang w:val="uk-UA"/>
        </w:rPr>
        <w:t>ОК</w:t>
      </w:r>
      <w:r w:rsidRPr="00CF6A32">
        <w:rPr>
          <w:rFonts w:ascii="Times New Roman" w:hAnsi="Times New Roman" w:cs="Times New Roman"/>
          <w:sz w:val="28"/>
          <w:lang w:val="uk-UA"/>
        </w:rPr>
        <w:t xml:space="preserve"> за попередньою освітою (на основі додатка до документа про освіту) здійснює </w:t>
      </w:r>
      <w:r w:rsidR="00667F63">
        <w:rPr>
          <w:rFonts w:ascii="Times New Roman" w:hAnsi="Times New Roman" w:cs="Times New Roman"/>
          <w:sz w:val="28"/>
          <w:lang w:val="uk-UA"/>
        </w:rPr>
        <w:t>заступник декана факультету</w:t>
      </w:r>
      <w:r w:rsidRPr="00CF6A32">
        <w:rPr>
          <w:rFonts w:ascii="Times New Roman" w:hAnsi="Times New Roman" w:cs="Times New Roman"/>
          <w:sz w:val="28"/>
          <w:lang w:val="uk-UA"/>
        </w:rPr>
        <w:t xml:space="preserve"> шляхом встановлення еквівалентності змісту </w:t>
      </w:r>
      <w:r w:rsidR="00667F63">
        <w:rPr>
          <w:rFonts w:ascii="Times New Roman" w:hAnsi="Times New Roman" w:cs="Times New Roman"/>
          <w:sz w:val="28"/>
          <w:lang w:val="uk-UA"/>
        </w:rPr>
        <w:t>ОК</w:t>
      </w:r>
      <w:r w:rsidRPr="00CF6A32">
        <w:rPr>
          <w:rFonts w:ascii="Times New Roman" w:hAnsi="Times New Roman" w:cs="Times New Roman"/>
          <w:sz w:val="28"/>
          <w:lang w:val="uk-UA"/>
        </w:rPr>
        <w:t>, загального обсягу кредитів ЄКТС (годин), форми підсумкового контролю на підставі висновку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67F63">
        <w:rPr>
          <w:rFonts w:ascii="Times New Roman" w:hAnsi="Times New Roman" w:cs="Times New Roman"/>
          <w:sz w:val="28"/>
          <w:lang w:val="uk-UA"/>
        </w:rPr>
        <w:t>Експертної комісії</w:t>
      </w:r>
      <w:r w:rsidRPr="00CF6A32">
        <w:rPr>
          <w:rFonts w:ascii="Times New Roman" w:hAnsi="Times New Roman" w:cs="Times New Roman"/>
          <w:sz w:val="28"/>
          <w:lang w:val="uk-UA"/>
        </w:rPr>
        <w:t>.</w:t>
      </w:r>
    </w:p>
    <w:p w:rsidR="000F7B46" w:rsidRPr="000F7B46" w:rsidRDefault="000F7B46" w:rsidP="000F7B46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нормативної частини освітньої програми, що забезпечують досягнення результатів навчання,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бути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 такий спосіб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0F7B46" w:rsidRPr="000F7B46" w:rsidRDefault="000F7B46" w:rsidP="000F7B46">
      <w:pPr>
        <w:widowControl w:val="0"/>
        <w:numPr>
          <w:ilvl w:val="0"/>
          <w:numId w:val="13"/>
        </w:numPr>
        <w:tabs>
          <w:tab w:val="left" w:pos="14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повне </w:t>
      </w:r>
      <w:proofErr w:type="spellStart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перезарахування</w:t>
      </w:r>
      <w:proofErr w:type="spellEnd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(результати навчання та обсяг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 кредитах ЄКТС збігаються не менше ніж 75%);</w:t>
      </w:r>
    </w:p>
    <w:p w:rsidR="000F7B46" w:rsidRPr="000F7B46" w:rsidRDefault="000F7B46" w:rsidP="000F7B46">
      <w:pPr>
        <w:widowControl w:val="0"/>
        <w:numPr>
          <w:ilvl w:val="0"/>
          <w:numId w:val="13"/>
        </w:numPr>
        <w:tabs>
          <w:tab w:val="left" w:pos="14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часткове </w:t>
      </w:r>
      <w:proofErr w:type="spellStart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перезарахування</w:t>
      </w:r>
      <w:proofErr w:type="spellEnd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</w:t>
      </w:r>
      <w:proofErr w:type="spellStart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перезараховується</w:t>
      </w:r>
      <w:proofErr w:type="spellEnd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 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частка кредитів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що відповідає результатам навчання, які збігаються, але не менше 50%,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 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решта визначається як академічна розбіжність);</w:t>
      </w:r>
    </w:p>
    <w:p w:rsidR="000F7B46" w:rsidRPr="000F7B46" w:rsidRDefault="000F7B46" w:rsidP="000F7B46">
      <w:pPr>
        <w:widowControl w:val="0"/>
        <w:numPr>
          <w:ilvl w:val="0"/>
          <w:numId w:val="13"/>
        </w:numPr>
        <w:tabs>
          <w:tab w:val="left" w:pos="14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асиметричне </w:t>
      </w:r>
      <w:proofErr w:type="spellStart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перезарахування</w:t>
      </w:r>
      <w:proofErr w:type="spellEnd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(результати навчання забезпечуються декількома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 замість одного, за умови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відповідності наявної кількості </w:t>
      </w:r>
      <w:proofErr w:type="spellStart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перезарахованих</w:t>
      </w:r>
      <w:proofErr w:type="spellEnd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кредитів у повному обсязі, або навпаки).</w:t>
      </w:r>
    </w:p>
    <w:p w:rsidR="000F7B46" w:rsidRDefault="00850379" w:rsidP="000F7B46">
      <w:pPr>
        <w:pStyle w:val="a3"/>
        <w:widowControl w:val="0"/>
        <w:numPr>
          <w:ilvl w:val="0"/>
          <w:numId w:val="11"/>
        </w:numPr>
        <w:tabs>
          <w:tab w:val="left" w:pos="12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Перезарахуванню</w:t>
      </w:r>
      <w:proofErr w:type="spellEnd"/>
      <w:r w:rsidR="000F7B46"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підлягають</w:t>
      </w:r>
      <w:r w:rsidR="000F7B46"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нормативні та вибіркові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="000F7B46"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 попереднім місцем навчання заявника.</w:t>
      </w:r>
    </w:p>
    <w:p w:rsidR="00CF6A32" w:rsidRPr="000F7B46" w:rsidRDefault="000F7B46" w:rsidP="000F7B46">
      <w:pPr>
        <w:pStyle w:val="a3"/>
        <w:widowControl w:val="0"/>
        <w:numPr>
          <w:ilvl w:val="0"/>
          <w:numId w:val="11"/>
        </w:numPr>
        <w:tabs>
          <w:tab w:val="left" w:pos="12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proofErr w:type="spellStart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Перезарахування</w:t>
      </w:r>
      <w:proofErr w:type="spellEnd"/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8503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здійснюється за погодженням декана ф</w:t>
      </w:r>
      <w:r w:rsidR="00667F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акультету на підставі висновку Е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кспертної комісії.</w:t>
      </w:r>
    </w:p>
    <w:p w:rsidR="000F7B46" w:rsidRPr="000F7B46" w:rsidRDefault="000F7B46" w:rsidP="00A7117A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Експертна комісія проводить встановлення 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відповідності ОК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 таким ознаками:</w:t>
      </w:r>
    </w:p>
    <w:p w:rsidR="000F7B46" w:rsidRPr="000F7B46" w:rsidRDefault="000F7B46" w:rsidP="000F7B46">
      <w:pPr>
        <w:widowControl w:val="0"/>
        <w:numPr>
          <w:ilvl w:val="0"/>
          <w:numId w:val="14"/>
        </w:numPr>
        <w:tabs>
          <w:tab w:val="left" w:pos="115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назва (зміст) 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форма контролю збігаються повністю, а 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його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загальний обсяг (у кредитах ЄКТС/годинах)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визначений попереднім закладом освіти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становить не менше 75 % від обсягу 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передбаченого навчальним планом освітньої програми відповідного освітнього ступеня Університету;</w:t>
      </w:r>
    </w:p>
    <w:p w:rsidR="000F7B46" w:rsidRPr="000F7B46" w:rsidRDefault="000F7B46" w:rsidP="000F7B46">
      <w:pPr>
        <w:widowControl w:val="0"/>
        <w:numPr>
          <w:ilvl w:val="0"/>
          <w:numId w:val="14"/>
        </w:numPr>
        <w:tabs>
          <w:tab w:val="left" w:pos="115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назва 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має несуттєву стилістичну відмінність, однак у повній мірі 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забезпечує програмні результати навчання за освітньою програмою, на яку вступає особа;</w:t>
      </w:r>
    </w:p>
    <w:p w:rsidR="000F7B46" w:rsidRPr="000F7B46" w:rsidRDefault="000F7B46" w:rsidP="000F7B46">
      <w:pPr>
        <w:widowControl w:val="0"/>
        <w:numPr>
          <w:ilvl w:val="0"/>
          <w:numId w:val="14"/>
        </w:numPr>
        <w:tabs>
          <w:tab w:val="left" w:pos="11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назва 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є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суттєві розбіжності, але п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ід час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порівняльного аналізу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навчальних програм 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встановлено, що </w:t>
      </w:r>
      <w:r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їх зміст збігається, а програмні результати навчання відповідають </w:t>
      </w:r>
      <w:r w:rsid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 освітньої програми.</w:t>
      </w:r>
    </w:p>
    <w:p w:rsidR="000F7B46" w:rsidRPr="00A7117A" w:rsidRDefault="00A7117A" w:rsidP="00A7117A">
      <w:pPr>
        <w:pStyle w:val="a3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="000F7B46" w:rsidRP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спит, складений у закладі освіти, де навчався здобувач, може бути зарахован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="000F7B46" w:rsidRP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як залік (диференційований залік) з відповідною оцінкою за шкалою ЄК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ТС, затвердженою в Університеті; </w:t>
      </w:r>
      <w:r w:rsidR="000F7B46" w:rsidRP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залік (диференційований залік), якщо він був оцінений за шкалою ЄКТС, може бути зарахований як іспит з відповідною оцінкою за умови повного збігу обсягів навчальної дисципліни (у кредитах ЄКТС).</w:t>
      </w:r>
    </w:p>
    <w:p w:rsidR="000F7B46" w:rsidRPr="000F7B46" w:rsidRDefault="00A7117A" w:rsidP="00A7117A">
      <w:pPr>
        <w:widowControl w:val="0"/>
        <w:numPr>
          <w:ilvl w:val="0"/>
          <w:numId w:val="11"/>
        </w:numPr>
        <w:tabs>
          <w:tab w:val="left" w:pos="113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="000F7B46"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цінка (бал) за вивчення </w:t>
      </w:r>
      <w:r w:rsidR="00667F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="000F7B46"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виставляється за шкалою ЄКТС, </w:t>
      </w:r>
      <w:r w:rsidR="00667F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 необхідності, використовуючи шкалу</w:t>
      </w:r>
      <w:r w:rsidR="000F7B46"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переведення оцінок (балів)</w:t>
      </w:r>
      <w:r w:rsidR="00370D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0F7B46"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зазначених у Правилах прийому відповідного року вступу. У разі,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що навчальні досягнення здобувач</w:t>
      </w:r>
      <w:r w:rsidR="000F7B46"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 вищої освіти із раніше вивчених </w:t>
      </w:r>
      <w:r w:rsidR="00667F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="000F7B46"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були оцінені декількома оцінками, то п</w:t>
      </w:r>
      <w:r w:rsidR="00370D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ри </w:t>
      </w:r>
      <w:proofErr w:type="spellStart"/>
      <w:r w:rsidR="00370D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перезарахуванні</w:t>
      </w:r>
      <w:proofErr w:type="spellEnd"/>
      <w:r w:rsidR="00370D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 відповідного</w:t>
      </w:r>
      <w:r w:rsidR="000F7B46"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70D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="000F7B46" w:rsidRPr="000F7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його навчального плану виставляється середньозважена оцінка.</w:t>
      </w:r>
    </w:p>
    <w:p w:rsidR="003816BE" w:rsidRDefault="00A7117A" w:rsidP="003816BE">
      <w:pPr>
        <w:pStyle w:val="a3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Не підлягають </w:t>
      </w:r>
      <w:proofErr w:type="spellStart"/>
      <w:r w:rsidRP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перезарахуванню</w:t>
      </w:r>
      <w:proofErr w:type="spellEnd"/>
      <w:r w:rsidRP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F7B46" w:rsidRP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виробничі практики та курсові роботи.</w:t>
      </w:r>
      <w:r w:rsidRPr="00A711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</w:p>
    <w:p w:rsidR="003816BE" w:rsidRPr="003816BE" w:rsidRDefault="003816BE" w:rsidP="003816BE">
      <w:pPr>
        <w:pStyle w:val="a3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Підставою для здійснення процедури встановлення еквівалентності та </w:t>
      </w:r>
      <w:proofErr w:type="spellStart"/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перезарахування</w:t>
      </w:r>
      <w:proofErr w:type="spellEnd"/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 є такі документи:</w:t>
      </w:r>
    </w:p>
    <w:p w:rsidR="003816BE" w:rsidRDefault="003816BE" w:rsidP="003816BE">
      <w:pPr>
        <w:pStyle w:val="a3"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заяви на вступ на освітні програми спеціальностей та ступені, які відповідно до стандартів вищої освіти та Правил прийому потребують процедури встановлення еквівалентності та </w:t>
      </w:r>
      <w:proofErr w:type="spellStart"/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перезарахування</w:t>
      </w:r>
      <w:proofErr w:type="spellEnd"/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ОК </w:t>
      </w:r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(в електронній чи паперовій формі);</w:t>
      </w:r>
    </w:p>
    <w:p w:rsidR="003816BE" w:rsidRDefault="003816BE" w:rsidP="003816BE">
      <w:pPr>
        <w:pStyle w:val="a3"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копії документу про освіту та додатку до нього;</w:t>
      </w:r>
    </w:p>
    <w:p w:rsidR="003816BE" w:rsidRPr="003816BE" w:rsidRDefault="003816BE" w:rsidP="003816BE">
      <w:pPr>
        <w:pStyle w:val="a3"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копії документа що посвідчує особу.</w:t>
      </w:r>
    </w:p>
    <w:p w:rsidR="003816BE" w:rsidRPr="003816BE" w:rsidRDefault="003816BE" w:rsidP="003816BE">
      <w:pPr>
        <w:pStyle w:val="a3"/>
        <w:widowControl w:val="0"/>
        <w:numPr>
          <w:ilvl w:val="0"/>
          <w:numId w:val="11"/>
        </w:numPr>
        <w:tabs>
          <w:tab w:val="left" w:pos="143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Робота експертної комісії зі встановлення еквівалентності проводиться не пізніше наступного дня від дати подачі заяви на вступ відповідно до Правил прийому поточного року.</w:t>
      </w:r>
    </w:p>
    <w:p w:rsidR="003816BE" w:rsidRPr="003816BE" w:rsidRDefault="003816BE" w:rsidP="00F020F5">
      <w:pPr>
        <w:pStyle w:val="a3"/>
        <w:widowControl w:val="0"/>
        <w:numPr>
          <w:ilvl w:val="0"/>
          <w:numId w:val="11"/>
        </w:numPr>
        <w:tabs>
          <w:tab w:val="left" w:pos="143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Перезарахування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ОК</w:t>
      </w:r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які внесені до нормативної частини навчал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ьного плану освітньої програми У</w:t>
      </w:r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ніверситету,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здійснюється </w:t>
      </w:r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незалежно від семестру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їх</w:t>
      </w:r>
      <w:r w:rsidRPr="003816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вивчення.</w:t>
      </w:r>
    </w:p>
    <w:p w:rsidR="003816BE" w:rsidRPr="00741A23" w:rsidRDefault="003816BE" w:rsidP="00F020F5">
      <w:pPr>
        <w:pStyle w:val="a3"/>
        <w:widowControl w:val="0"/>
        <w:numPr>
          <w:ilvl w:val="0"/>
          <w:numId w:val="11"/>
        </w:numPr>
        <w:tabs>
          <w:tab w:val="left" w:pos="143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741A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 разі виникнення суперечливих питань під час роботи по встановленню </w:t>
      </w:r>
      <w:r w:rsidR="008503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відповідності Е</w:t>
      </w:r>
      <w:r w:rsidRPr="00741A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кспертна комісія має право провести додаткову співбесіду зі вступником (очно або шляхом </w:t>
      </w:r>
      <w:proofErr w:type="spellStart"/>
      <w:r w:rsidRPr="00741A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відеозв’язку</w:t>
      </w:r>
      <w:proofErr w:type="spellEnd"/>
      <w:r w:rsidRPr="00741A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). У разі необхідності, для встановлення відповідності змісту ОК, особа, яка вступає на навчання до Університету, може надати копію навчальної програми дисципліни з попереднього закладу освіти.</w:t>
      </w:r>
    </w:p>
    <w:p w:rsidR="00F020F5" w:rsidRPr="00F020F5" w:rsidRDefault="00F020F5" w:rsidP="00F020F5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lang w:val="uk-UA"/>
        </w:rPr>
      </w:pPr>
      <w:r w:rsidRPr="00F020F5">
        <w:rPr>
          <w:rFonts w:ascii="Times New Roman" w:hAnsi="Times New Roman" w:cs="Times New Roman"/>
          <w:sz w:val="28"/>
          <w:lang w:val="uk-UA"/>
        </w:rPr>
        <w:t xml:space="preserve">10. Експертна комісія робить висновок </w:t>
      </w:r>
      <w:r w:rsidRPr="00F020F5">
        <w:rPr>
          <w:rFonts w:ascii="Times New Roman" w:hAnsi="Times New Roman" w:cs="Times New Roman"/>
          <w:sz w:val="28"/>
          <w:lang w:val="uk-UA" w:bidi="uk-UA"/>
        </w:rPr>
        <w:t>про:</w:t>
      </w:r>
    </w:p>
    <w:p w:rsidR="00F020F5" w:rsidRPr="00F020F5" w:rsidRDefault="00F020F5" w:rsidP="00F020F5">
      <w:pPr>
        <w:pStyle w:val="a3"/>
        <w:numPr>
          <w:ilvl w:val="0"/>
          <w:numId w:val="19"/>
        </w:numPr>
        <w:ind w:left="-142" w:firstLine="709"/>
        <w:rPr>
          <w:rFonts w:ascii="Times New Roman" w:hAnsi="Times New Roman" w:cs="Times New Roman"/>
          <w:sz w:val="28"/>
        </w:rPr>
      </w:pPr>
      <w:r w:rsidRPr="00F020F5">
        <w:rPr>
          <w:rFonts w:ascii="Times New Roman" w:hAnsi="Times New Roman" w:cs="Times New Roman"/>
          <w:sz w:val="28"/>
          <w:lang w:val="uk-UA" w:bidi="uk-UA"/>
        </w:rPr>
        <w:t xml:space="preserve">можливість повного </w:t>
      </w:r>
      <w:proofErr w:type="spellStart"/>
      <w:r w:rsidRPr="00F020F5">
        <w:rPr>
          <w:rFonts w:ascii="Times New Roman" w:hAnsi="Times New Roman" w:cs="Times New Roman"/>
          <w:sz w:val="28"/>
          <w:lang w:val="uk-UA" w:bidi="uk-UA"/>
        </w:rPr>
        <w:t>перезарахування</w:t>
      </w:r>
      <w:proofErr w:type="spellEnd"/>
      <w:r w:rsidRPr="00F020F5">
        <w:rPr>
          <w:rFonts w:ascii="Times New Roman" w:hAnsi="Times New Roman" w:cs="Times New Roman"/>
          <w:sz w:val="28"/>
          <w:lang w:val="uk-UA" w:bidi="uk-UA"/>
        </w:rPr>
        <w:t xml:space="preserve"> ОК; </w:t>
      </w:r>
    </w:p>
    <w:p w:rsidR="00F020F5" w:rsidRPr="00F020F5" w:rsidRDefault="00F020F5" w:rsidP="00F020F5">
      <w:pPr>
        <w:pStyle w:val="a3"/>
        <w:numPr>
          <w:ilvl w:val="0"/>
          <w:numId w:val="19"/>
        </w:numPr>
        <w:ind w:left="0" w:firstLine="567"/>
        <w:rPr>
          <w:rFonts w:ascii="Times New Roman" w:hAnsi="Times New Roman" w:cs="Times New Roman"/>
          <w:sz w:val="28"/>
        </w:rPr>
      </w:pPr>
      <w:r w:rsidRPr="00F020F5">
        <w:rPr>
          <w:rFonts w:ascii="Times New Roman" w:hAnsi="Times New Roman" w:cs="Times New Roman"/>
          <w:sz w:val="28"/>
          <w:lang w:val="uk-UA" w:bidi="uk-UA"/>
        </w:rPr>
        <w:t xml:space="preserve">можливість часткового </w:t>
      </w:r>
      <w:proofErr w:type="spellStart"/>
      <w:r w:rsidRPr="00F020F5">
        <w:rPr>
          <w:rFonts w:ascii="Times New Roman" w:hAnsi="Times New Roman" w:cs="Times New Roman"/>
          <w:sz w:val="28"/>
          <w:lang w:val="uk-UA" w:bidi="uk-UA"/>
        </w:rPr>
        <w:t>перезарахування</w:t>
      </w:r>
      <w:proofErr w:type="spellEnd"/>
      <w:r w:rsidRPr="00F020F5">
        <w:rPr>
          <w:rFonts w:ascii="Times New Roman" w:hAnsi="Times New Roman" w:cs="Times New Roman"/>
          <w:sz w:val="28"/>
          <w:lang w:val="uk-UA" w:bidi="uk-UA"/>
        </w:rPr>
        <w:t xml:space="preserve"> ОК</w:t>
      </w:r>
      <w:r>
        <w:rPr>
          <w:rFonts w:ascii="Times New Roman" w:hAnsi="Times New Roman" w:cs="Times New Roman"/>
          <w:sz w:val="28"/>
          <w:lang w:val="uk-UA" w:bidi="uk-UA"/>
        </w:rPr>
        <w:t xml:space="preserve"> (необхідність </w:t>
      </w:r>
      <w:r w:rsidRPr="00F020F5">
        <w:rPr>
          <w:rFonts w:ascii="Times New Roman" w:hAnsi="Times New Roman" w:cs="Times New Roman"/>
          <w:sz w:val="28"/>
          <w:lang w:val="uk-UA" w:bidi="uk-UA"/>
        </w:rPr>
        <w:t>додаткового вивчення та атестації за окремими темами (розділами));</w:t>
      </w:r>
    </w:p>
    <w:p w:rsidR="00F020F5" w:rsidRPr="00F020F5" w:rsidRDefault="00F020F5" w:rsidP="00F020F5">
      <w:pPr>
        <w:pStyle w:val="a3"/>
        <w:numPr>
          <w:ilvl w:val="0"/>
          <w:numId w:val="19"/>
        </w:numPr>
        <w:ind w:left="0" w:firstLine="567"/>
        <w:rPr>
          <w:rFonts w:ascii="Times New Roman" w:hAnsi="Times New Roman" w:cs="Times New Roman"/>
          <w:sz w:val="28"/>
        </w:rPr>
      </w:pPr>
      <w:r w:rsidRPr="00F020F5">
        <w:rPr>
          <w:rFonts w:ascii="Times New Roman" w:hAnsi="Times New Roman" w:cs="Times New Roman"/>
          <w:sz w:val="28"/>
          <w:lang w:val="uk-UA" w:bidi="uk-UA"/>
        </w:rPr>
        <w:t xml:space="preserve">неможливість </w:t>
      </w:r>
      <w:proofErr w:type="spellStart"/>
      <w:r w:rsidRPr="00F020F5">
        <w:rPr>
          <w:rFonts w:ascii="Times New Roman" w:hAnsi="Times New Roman" w:cs="Times New Roman"/>
          <w:sz w:val="28"/>
          <w:lang w:val="uk-UA" w:bidi="uk-UA"/>
        </w:rPr>
        <w:t>перезарахування</w:t>
      </w:r>
      <w:proofErr w:type="spellEnd"/>
      <w:r w:rsidRPr="00F020F5">
        <w:rPr>
          <w:rFonts w:ascii="Times New Roman" w:hAnsi="Times New Roman" w:cs="Times New Roman"/>
          <w:sz w:val="28"/>
          <w:lang w:val="uk-UA" w:bidi="uk-UA"/>
        </w:rPr>
        <w:t xml:space="preserve"> ОК.</w:t>
      </w:r>
    </w:p>
    <w:p w:rsidR="00F020F5" w:rsidRPr="00F020F5" w:rsidRDefault="00F020F5" w:rsidP="00F020F5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8"/>
          <w:lang w:val="uk-UA"/>
        </w:rPr>
      </w:pPr>
      <w:r w:rsidRPr="00F020F5">
        <w:rPr>
          <w:rFonts w:ascii="Times New Roman" w:hAnsi="Times New Roman" w:cs="Times New Roman"/>
          <w:sz w:val="28"/>
          <w:lang w:val="uk-UA"/>
        </w:rPr>
        <w:lastRenderedPageBreak/>
        <w:t>Рішення Експертної комісії оформлюється протоколом (</w:t>
      </w:r>
      <w:r w:rsidRPr="00F020F5">
        <w:rPr>
          <w:rFonts w:ascii="Times New Roman" w:hAnsi="Times New Roman" w:cs="Times New Roman"/>
          <w:b/>
          <w:sz w:val="28"/>
          <w:lang w:val="uk-UA"/>
        </w:rPr>
        <w:t>додаток 1</w:t>
      </w:r>
      <w:r w:rsidRPr="00F020F5">
        <w:rPr>
          <w:rFonts w:ascii="Times New Roman" w:hAnsi="Times New Roman" w:cs="Times New Roman"/>
          <w:sz w:val="28"/>
          <w:lang w:val="uk-UA"/>
        </w:rPr>
        <w:t xml:space="preserve">). </w:t>
      </w:r>
    </w:p>
    <w:p w:rsidR="00F020F5" w:rsidRPr="00370D27" w:rsidRDefault="00F020F5" w:rsidP="00CB793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CB7933">
        <w:rPr>
          <w:rFonts w:ascii="Times New Roman" w:hAnsi="Times New Roman" w:cs="Times New Roman"/>
          <w:sz w:val="28"/>
          <w:lang w:val="uk-UA"/>
        </w:rPr>
        <w:t xml:space="preserve">З метою досягнення необхідних обсягів кредитів ЄКТС під час вступу </w:t>
      </w:r>
      <w:r w:rsidRPr="00370D27">
        <w:rPr>
          <w:rFonts w:ascii="Times New Roman" w:hAnsi="Times New Roman" w:cs="Times New Roman"/>
          <w:sz w:val="28"/>
          <w:lang w:val="uk-UA"/>
        </w:rPr>
        <w:t xml:space="preserve">на визначений </w:t>
      </w:r>
      <w:r w:rsidR="00CB7933" w:rsidRPr="00370D27">
        <w:rPr>
          <w:rFonts w:ascii="Times New Roman" w:hAnsi="Times New Roman" w:cs="Times New Roman"/>
          <w:sz w:val="28"/>
          <w:lang w:val="uk-UA"/>
        </w:rPr>
        <w:t>термін</w:t>
      </w:r>
      <w:r w:rsidRPr="00370D27">
        <w:rPr>
          <w:rFonts w:ascii="Times New Roman" w:hAnsi="Times New Roman" w:cs="Times New Roman"/>
          <w:sz w:val="28"/>
          <w:lang w:val="uk-UA"/>
        </w:rPr>
        <w:t xml:space="preserve"> навчання </w:t>
      </w:r>
      <w:r w:rsidR="00CB7933" w:rsidRPr="00370D27">
        <w:rPr>
          <w:rFonts w:ascii="Times New Roman" w:hAnsi="Times New Roman" w:cs="Times New Roman"/>
          <w:sz w:val="28"/>
          <w:lang w:val="uk-UA"/>
        </w:rPr>
        <w:t xml:space="preserve">особам, які вступили до Університету на освітню програму на другий (третій) курс (з нормативним терміном навчання) </w:t>
      </w:r>
      <w:r w:rsidRPr="00370D27">
        <w:rPr>
          <w:rFonts w:ascii="Times New Roman" w:hAnsi="Times New Roman" w:cs="Times New Roman"/>
          <w:sz w:val="28"/>
          <w:lang w:val="uk-UA"/>
        </w:rPr>
        <w:t xml:space="preserve"> може бути визначена академічна різниця, яка не перевищує 20 кредитів ЄКТС. До академічної різниці не включаються виробничі практики та курсові роботи.</w:t>
      </w:r>
    </w:p>
    <w:p w:rsidR="00F020F5" w:rsidRPr="00F020F5" w:rsidRDefault="00F020F5" w:rsidP="00F020F5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020F5">
        <w:rPr>
          <w:rFonts w:ascii="Times New Roman" w:hAnsi="Times New Roman" w:cs="Times New Roman"/>
          <w:sz w:val="28"/>
          <w:lang w:val="uk-UA"/>
        </w:rPr>
        <w:t>Д</w:t>
      </w:r>
      <w:r w:rsidR="00CB7933">
        <w:rPr>
          <w:rFonts w:ascii="Times New Roman" w:hAnsi="Times New Roman" w:cs="Times New Roman"/>
          <w:sz w:val="28"/>
          <w:lang w:val="uk-UA"/>
        </w:rPr>
        <w:t>одаткове</w:t>
      </w:r>
      <w:r w:rsidRPr="00F020F5">
        <w:rPr>
          <w:rFonts w:ascii="Times New Roman" w:hAnsi="Times New Roman" w:cs="Times New Roman"/>
          <w:sz w:val="28"/>
          <w:lang w:val="uk-UA"/>
        </w:rPr>
        <w:t xml:space="preserve"> </w:t>
      </w:r>
      <w:r w:rsidR="00CB7933">
        <w:rPr>
          <w:rFonts w:ascii="Times New Roman" w:hAnsi="Times New Roman" w:cs="Times New Roman"/>
          <w:sz w:val="28"/>
          <w:lang w:val="uk-UA"/>
        </w:rPr>
        <w:t>складання</w:t>
      </w:r>
      <w:r w:rsidRPr="00F020F5">
        <w:rPr>
          <w:rFonts w:ascii="Times New Roman" w:hAnsi="Times New Roman" w:cs="Times New Roman"/>
          <w:sz w:val="28"/>
          <w:lang w:val="uk-UA"/>
        </w:rPr>
        <w:t xml:space="preserve"> (ліквідація академічної різниці) за окремими темами </w:t>
      </w:r>
      <w:r>
        <w:rPr>
          <w:rFonts w:ascii="Times New Roman" w:hAnsi="Times New Roman" w:cs="Times New Roman"/>
          <w:sz w:val="28"/>
          <w:lang w:val="uk-UA"/>
        </w:rPr>
        <w:t>ОК</w:t>
      </w:r>
      <w:r w:rsidRPr="00F020F5">
        <w:rPr>
          <w:rFonts w:ascii="Times New Roman" w:hAnsi="Times New Roman" w:cs="Times New Roman"/>
          <w:sz w:val="28"/>
          <w:lang w:val="uk-UA"/>
        </w:rPr>
        <w:t xml:space="preserve"> може проводитися у формі співбесіди, письмової контрольної роботи або тестування з тем, які не вивчалися здобувачем вищої освіти раніше або вивчалися у неповному обсязі тощо.</w:t>
      </w:r>
    </w:p>
    <w:p w:rsidR="00F020F5" w:rsidRPr="00F020F5" w:rsidRDefault="00F020F5" w:rsidP="00F020F5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</w:t>
      </w:r>
      <w:r w:rsidRPr="00F020F5">
        <w:rPr>
          <w:rFonts w:ascii="Times New Roman" w:hAnsi="Times New Roman" w:cs="Times New Roman"/>
          <w:sz w:val="28"/>
          <w:lang w:val="uk-UA"/>
        </w:rPr>
        <w:t xml:space="preserve">несені до академічної різниці </w:t>
      </w:r>
      <w:r>
        <w:rPr>
          <w:rFonts w:ascii="Times New Roman" w:hAnsi="Times New Roman" w:cs="Times New Roman"/>
          <w:sz w:val="28"/>
          <w:lang w:val="uk-UA"/>
        </w:rPr>
        <w:t>ОК</w:t>
      </w:r>
      <w:r w:rsidRPr="00F020F5">
        <w:rPr>
          <w:rFonts w:ascii="Times New Roman" w:hAnsi="Times New Roman" w:cs="Times New Roman"/>
          <w:sz w:val="28"/>
          <w:lang w:val="uk-UA"/>
        </w:rPr>
        <w:t xml:space="preserve">, вступник складає упродовж першого семестру навчання, але не пізніше початку </w:t>
      </w:r>
      <w:proofErr w:type="spellStart"/>
      <w:r w:rsidRPr="00F020F5">
        <w:rPr>
          <w:rFonts w:ascii="Times New Roman" w:hAnsi="Times New Roman" w:cs="Times New Roman"/>
          <w:sz w:val="28"/>
          <w:lang w:val="uk-UA"/>
        </w:rPr>
        <w:t>заліково</w:t>
      </w:r>
      <w:proofErr w:type="spellEnd"/>
      <w:r w:rsidRPr="00F020F5">
        <w:rPr>
          <w:rFonts w:ascii="Times New Roman" w:hAnsi="Times New Roman" w:cs="Times New Roman"/>
          <w:sz w:val="28"/>
          <w:lang w:val="uk-UA"/>
        </w:rPr>
        <w:t>-екзаменаційної сесії.</w:t>
      </w:r>
    </w:p>
    <w:p w:rsidR="00D92C1A" w:rsidRPr="00DC0BDC" w:rsidRDefault="00D92C1A" w:rsidP="00D92C1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92C1A" w:rsidRDefault="00D92C1A" w:rsidP="00B47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470FC" w:rsidRPr="005B5E54" w:rsidRDefault="00D07838" w:rsidP="00B47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B5E54">
        <w:rPr>
          <w:rFonts w:ascii="Times New Roman" w:hAnsi="Times New Roman" w:cs="Times New Roman"/>
          <w:b/>
          <w:sz w:val="28"/>
          <w:lang w:val="uk-UA"/>
        </w:rPr>
        <w:t>3. Порядок визначення академічної різниці</w:t>
      </w:r>
    </w:p>
    <w:p w:rsidR="00B470FC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1. Академічна різниця - це розбіжність між навчальними планами, освітньою програмою, за якими здобувач вищої освіти навчався і за якими бажає навчатися в Університеті. </w:t>
      </w:r>
    </w:p>
    <w:p w:rsidR="00B470FC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2. Визначення академічної різниці здійснюється деканатом факультету/ відділом аспірантури та докторантури за згодою гаранта освітньої програми і має тривати не більше одного робочого тижня. Деканат факультету/ відділ аспірантури та докторантури вивіряє кількість кредитів, опанованих здобувачем вищої освіти. Недостатній обсяг кредитів здобувач вищої освіти повинен ліквідувати, виходячи з того, що загальна сума кредитів ECTS складає 60*n (n - кількість курсів). </w:t>
      </w:r>
    </w:p>
    <w:p w:rsidR="00B470FC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>3. Академічною різниц</w:t>
      </w:r>
      <w:r w:rsidR="00B470FC" w:rsidRPr="005B5E54">
        <w:rPr>
          <w:rFonts w:ascii="Times New Roman" w:hAnsi="Times New Roman" w:cs="Times New Roman"/>
          <w:sz w:val="28"/>
          <w:lang w:val="uk-UA"/>
        </w:rPr>
        <w:t xml:space="preserve">ею не вважаються: </w:t>
      </w:r>
    </w:p>
    <w:p w:rsidR="008C73B1" w:rsidRDefault="00D07838" w:rsidP="008C73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C73B1">
        <w:rPr>
          <w:rFonts w:ascii="Times New Roman" w:hAnsi="Times New Roman" w:cs="Times New Roman"/>
          <w:sz w:val="28"/>
          <w:lang w:val="uk-UA"/>
        </w:rPr>
        <w:t xml:space="preserve">вибіркові </w:t>
      </w:r>
      <w:r w:rsidR="008C73B1">
        <w:rPr>
          <w:rFonts w:ascii="Times New Roman" w:hAnsi="Times New Roman" w:cs="Times New Roman"/>
          <w:sz w:val="28"/>
          <w:lang w:val="uk-UA"/>
        </w:rPr>
        <w:t>ОК</w:t>
      </w:r>
      <w:r w:rsidRPr="008C73B1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8C73B1" w:rsidRDefault="00D07838" w:rsidP="008C73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C73B1">
        <w:rPr>
          <w:rFonts w:ascii="Times New Roman" w:hAnsi="Times New Roman" w:cs="Times New Roman"/>
          <w:sz w:val="28"/>
          <w:lang w:val="uk-UA"/>
        </w:rPr>
        <w:t xml:space="preserve">відсутність курсової роботи з </w:t>
      </w:r>
      <w:r w:rsidR="008C73B1">
        <w:rPr>
          <w:rFonts w:ascii="Times New Roman" w:hAnsi="Times New Roman" w:cs="Times New Roman"/>
          <w:sz w:val="28"/>
          <w:lang w:val="uk-UA"/>
        </w:rPr>
        <w:t>ОК</w:t>
      </w:r>
      <w:r w:rsidRPr="008C73B1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B470FC" w:rsidRPr="008C73B1" w:rsidRDefault="00D07838" w:rsidP="008C73B1">
      <w:pPr>
        <w:pStyle w:val="a3"/>
        <w:numPr>
          <w:ilvl w:val="0"/>
          <w:numId w:val="20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lang w:val="uk-UA"/>
        </w:rPr>
      </w:pPr>
      <w:r w:rsidRPr="008C73B1">
        <w:rPr>
          <w:rFonts w:ascii="Times New Roman" w:hAnsi="Times New Roman" w:cs="Times New Roman"/>
          <w:sz w:val="28"/>
          <w:lang w:val="uk-UA"/>
        </w:rPr>
        <w:t>розбіжність у формі п</w:t>
      </w:r>
      <w:r w:rsidR="008C73B1">
        <w:rPr>
          <w:rFonts w:ascii="Times New Roman" w:hAnsi="Times New Roman" w:cs="Times New Roman"/>
          <w:sz w:val="28"/>
          <w:lang w:val="uk-UA"/>
        </w:rPr>
        <w:t>ідсумкового контролю «екзамен» ,</w:t>
      </w:r>
      <w:r w:rsidRPr="008C73B1">
        <w:rPr>
          <w:rFonts w:ascii="Times New Roman" w:hAnsi="Times New Roman" w:cs="Times New Roman"/>
          <w:sz w:val="28"/>
          <w:lang w:val="uk-UA"/>
        </w:rPr>
        <w:t xml:space="preserve"> «залік» (бали, отримані за залік, можуть бути за шкалою Університету зараховані як екзамен). </w:t>
      </w:r>
    </w:p>
    <w:p w:rsidR="00B470FC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4. Кількість підсумкових форм контролю, які складають академічну різницю, не повинна перевищувати кількості форм контролю за навчальний рік. </w:t>
      </w:r>
    </w:p>
    <w:p w:rsidR="00B470FC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5. Якщо навчальним планом передбачено складання заліку та екзамену з </w:t>
      </w:r>
      <w:r w:rsidR="008C73B1">
        <w:rPr>
          <w:rFonts w:ascii="Times New Roman" w:hAnsi="Times New Roman" w:cs="Times New Roman"/>
          <w:sz w:val="28"/>
          <w:lang w:val="uk-UA"/>
        </w:rPr>
        <w:t>ОК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, то формою підсумкового контролю при складанні академічної різниці є екзамен. Якщо навчальним планом передбачено складання кількох заліків або </w:t>
      </w:r>
      <w:r w:rsidR="008C73B1">
        <w:rPr>
          <w:rFonts w:ascii="Times New Roman" w:hAnsi="Times New Roman" w:cs="Times New Roman"/>
          <w:sz w:val="28"/>
          <w:lang w:val="uk-UA"/>
        </w:rPr>
        <w:t>екзаменів з одного ОК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, то формою підсумкового контролю при складанні академічної різниці є один залік або екзамен. 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lastRenderedPageBreak/>
        <w:t>6. Термін ліквідації академічної різниці</w:t>
      </w:r>
      <w:r w:rsidR="008D3316" w:rsidRPr="005B5E54">
        <w:rPr>
          <w:rFonts w:ascii="Times New Roman" w:hAnsi="Times New Roman" w:cs="Times New Roman"/>
          <w:sz w:val="28"/>
          <w:lang w:val="uk-UA"/>
        </w:rPr>
        <w:t xml:space="preserve"> – до 6 місяців після зарахування або поновлення або до початку сесії відповідного семестру.</w:t>
      </w:r>
    </w:p>
    <w:p w:rsidR="008D3316" w:rsidRPr="005B5E54" w:rsidRDefault="008D3316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B470FC" w:rsidRPr="005B5E54" w:rsidRDefault="00D07838" w:rsidP="00B470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b/>
          <w:sz w:val="28"/>
          <w:lang w:val="uk-UA"/>
        </w:rPr>
        <w:t>4. Порядок складання академічної різниці</w:t>
      </w:r>
    </w:p>
    <w:p w:rsidR="006F2331" w:rsidRDefault="00D07838" w:rsidP="006F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>1. У разі поновлення на навчання чи переведення з однієї спеціальності (предметної спеціальності, спеціалізації, освітньої програми) на іншу</w:t>
      </w:r>
      <w:r w:rsidR="00850379">
        <w:rPr>
          <w:rFonts w:ascii="Times New Roman" w:hAnsi="Times New Roman" w:cs="Times New Roman"/>
          <w:sz w:val="28"/>
          <w:lang w:val="uk-UA"/>
        </w:rPr>
        <w:t>,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 академічна різниця с</w:t>
      </w:r>
      <w:r w:rsidR="00B470FC" w:rsidRPr="005B5E54">
        <w:rPr>
          <w:rFonts w:ascii="Times New Roman" w:hAnsi="Times New Roman" w:cs="Times New Roman"/>
          <w:sz w:val="28"/>
          <w:lang w:val="uk-UA"/>
        </w:rPr>
        <w:t xml:space="preserve">тановить не більше 20 </w:t>
      </w:r>
      <w:r w:rsidRPr="005B5E54">
        <w:rPr>
          <w:rFonts w:ascii="Times New Roman" w:hAnsi="Times New Roman" w:cs="Times New Roman"/>
          <w:sz w:val="28"/>
          <w:lang w:val="uk-UA"/>
        </w:rPr>
        <w:t>кредитів</w:t>
      </w:r>
      <w:r w:rsidR="00CB7933">
        <w:rPr>
          <w:rFonts w:ascii="Times New Roman" w:hAnsi="Times New Roman" w:cs="Times New Roman"/>
          <w:sz w:val="28"/>
          <w:lang w:val="uk-UA"/>
        </w:rPr>
        <w:t xml:space="preserve"> </w:t>
      </w:r>
      <w:bookmarkStart w:id="0" w:name="_GoBack"/>
      <w:bookmarkEnd w:id="0"/>
      <w:r w:rsidR="00CB7933" w:rsidRPr="00370D27">
        <w:rPr>
          <w:rFonts w:ascii="Times New Roman" w:hAnsi="Times New Roman" w:cs="Times New Roman"/>
          <w:sz w:val="28"/>
          <w:lang w:val="uk-UA"/>
        </w:rPr>
        <w:t>ЄКТС</w:t>
      </w:r>
      <w:r w:rsidRPr="00370D27">
        <w:rPr>
          <w:rFonts w:ascii="Times New Roman" w:hAnsi="Times New Roman" w:cs="Times New Roman"/>
          <w:sz w:val="28"/>
          <w:lang w:val="uk-UA"/>
        </w:rPr>
        <w:t>.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A04CF7" w:rsidRPr="0001390A" w:rsidRDefault="00A04CF7" w:rsidP="00A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01390A">
        <w:rPr>
          <w:rFonts w:ascii="Times New Roman" w:hAnsi="Times New Roman" w:cs="Times New Roman"/>
          <w:sz w:val="28"/>
          <w:lang w:val="uk-UA"/>
        </w:rPr>
        <w:t>2. При поновленні враховується здатність особи успішно виконати відповідну освітню програму. Процедура оцінювання здатності проводиться у формі співбесіди (результати співбесіди фіксуються у протоколі); додаткового випробування зі спеціальності (результати фіксуються у відомості); додаткового випробування із загальної компетентності (результати фіксуються у відомості).</w:t>
      </w:r>
    </w:p>
    <w:p w:rsidR="00B470FC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2. Здобувачі вищої освіти, </w:t>
      </w:r>
      <w:r w:rsidR="00CB7933">
        <w:rPr>
          <w:rFonts w:ascii="Times New Roman" w:hAnsi="Times New Roman" w:cs="Times New Roman"/>
          <w:sz w:val="28"/>
          <w:lang w:val="uk-UA"/>
        </w:rPr>
        <w:t xml:space="preserve">які не склали у встановлені терміни академічну різницю, 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 відра</w:t>
      </w:r>
      <w:r w:rsidR="0001390A">
        <w:rPr>
          <w:rFonts w:ascii="Times New Roman" w:hAnsi="Times New Roman" w:cs="Times New Roman"/>
          <w:sz w:val="28"/>
          <w:lang w:val="uk-UA"/>
        </w:rPr>
        <w:t>ховую</w:t>
      </w:r>
      <w:r w:rsidR="00A04CF7">
        <w:rPr>
          <w:rFonts w:ascii="Times New Roman" w:hAnsi="Times New Roman" w:cs="Times New Roman"/>
          <w:sz w:val="28"/>
          <w:lang w:val="uk-UA"/>
        </w:rPr>
        <w:t>ться зі складу здобувачів У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ніверситету. </w:t>
      </w:r>
    </w:p>
    <w:p w:rsidR="00B470FC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3. Основною формою оволодіння навчальним матеріалом при ліквідації академічної різниці є самостійна робота здобувача. </w:t>
      </w:r>
    </w:p>
    <w:p w:rsidR="00B470FC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4. З метою сприяння успішному складанню академічної різниці, </w:t>
      </w:r>
      <w:r w:rsidR="008D3316" w:rsidRPr="005B5E54">
        <w:rPr>
          <w:rFonts w:ascii="Times New Roman" w:hAnsi="Times New Roman" w:cs="Times New Roman"/>
          <w:sz w:val="28"/>
          <w:lang w:val="uk-UA"/>
        </w:rPr>
        <w:t>деканатом факультету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/ відділом аспірантури та докторантури здобувачу вищої освіти надається необхідна консультативно-роз’яснювальна допомога. 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5. Кафедри, за якими закріплені </w:t>
      </w:r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, що складають академічну різницю, надають необхідні навчально-методичні вказівки та рекомендації для самостійної роботи, забезпечують достатній рівень консультативної допомоги та об’єктивний підсумковий контроль знань здобувача вищої освіти. </w:t>
      </w:r>
    </w:p>
    <w:p w:rsidR="00D07838" w:rsidRPr="005B5E54" w:rsidRDefault="00D07838" w:rsidP="00B47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B5E54">
        <w:rPr>
          <w:rFonts w:ascii="Times New Roman" w:hAnsi="Times New Roman" w:cs="Times New Roman"/>
          <w:b/>
          <w:sz w:val="28"/>
          <w:lang w:val="uk-UA"/>
        </w:rPr>
        <w:t>5. Оформлення документів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1. Підготовка матеріалів щодо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</w:t>
      </w:r>
      <w:r w:rsidR="00850379">
        <w:rPr>
          <w:rFonts w:ascii="Times New Roman" w:hAnsi="Times New Roman" w:cs="Times New Roman"/>
          <w:sz w:val="28"/>
          <w:lang w:val="uk-UA"/>
        </w:rPr>
        <w:t>ОК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 та визначення академічної різниці покладається на </w:t>
      </w:r>
      <w:r w:rsidR="008D3316" w:rsidRPr="005B5E54">
        <w:rPr>
          <w:rFonts w:ascii="Times New Roman" w:hAnsi="Times New Roman" w:cs="Times New Roman"/>
          <w:sz w:val="28"/>
          <w:lang w:val="uk-UA"/>
        </w:rPr>
        <w:t>деканат факультету/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 відділ аспірантури та докторантури. 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2. Академічна довідка (копія додатку до диплому про вищу освіту тощо), заява про визнання результатів навчання та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</w:t>
      </w:r>
      <w:r w:rsidR="00850379">
        <w:rPr>
          <w:rFonts w:ascii="Times New Roman" w:hAnsi="Times New Roman" w:cs="Times New Roman"/>
          <w:sz w:val="28"/>
          <w:lang w:val="uk-UA"/>
        </w:rPr>
        <w:t>ОК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, погоджені </w:t>
      </w:r>
      <w:r w:rsidR="008D3316" w:rsidRPr="005B5E54">
        <w:rPr>
          <w:rFonts w:ascii="Times New Roman" w:hAnsi="Times New Roman" w:cs="Times New Roman"/>
          <w:sz w:val="28"/>
          <w:lang w:val="uk-UA"/>
        </w:rPr>
        <w:t>деканом факультету</w:t>
      </w:r>
      <w:r w:rsidRPr="005B5E54">
        <w:rPr>
          <w:rFonts w:ascii="Times New Roman" w:hAnsi="Times New Roman" w:cs="Times New Roman"/>
          <w:sz w:val="28"/>
          <w:lang w:val="uk-UA"/>
        </w:rPr>
        <w:t>/ завідувачем відділу аспірантури та докторантури, гарантом освітньої програми, долучаються до особової справи здобувача вищої освіти.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3.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</w:t>
      </w:r>
      <w:r w:rsidR="00850379">
        <w:rPr>
          <w:rFonts w:ascii="Times New Roman" w:hAnsi="Times New Roman" w:cs="Times New Roman"/>
          <w:sz w:val="28"/>
          <w:lang w:val="uk-UA"/>
        </w:rPr>
        <w:t>ОК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, складання академічної різниці фіксується у індивідуальному навчальному плані здобувача вищої освіти (індивідуальному плані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освітньо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-наукової роботи аспіранта) і засвідчується підписом </w:t>
      </w:r>
      <w:r w:rsidR="008D3316" w:rsidRPr="005B5E54">
        <w:rPr>
          <w:rFonts w:ascii="Times New Roman" w:hAnsi="Times New Roman" w:cs="Times New Roman"/>
          <w:sz w:val="28"/>
          <w:lang w:val="uk-UA"/>
        </w:rPr>
        <w:t xml:space="preserve">декана факультету / 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завідувача відділу аспірантури та докторантури. При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перезарахуванні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</w:t>
      </w:r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="00370D27" w:rsidRPr="005B5E54">
        <w:rPr>
          <w:rFonts w:ascii="Times New Roman" w:hAnsi="Times New Roman" w:cs="Times New Roman"/>
          <w:sz w:val="28"/>
          <w:lang w:val="uk-UA"/>
        </w:rPr>
        <w:t xml:space="preserve"> 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до навчальної картки та залікової книжки здобувача вищої освіти/індивідуального плану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освітньо</w:t>
      </w:r>
      <w:proofErr w:type="spellEnd"/>
      <w:r w:rsidR="008D3316" w:rsidRPr="005B5E54">
        <w:rPr>
          <w:rFonts w:ascii="Times New Roman" w:hAnsi="Times New Roman" w:cs="Times New Roman"/>
          <w:sz w:val="28"/>
          <w:lang w:val="uk-UA"/>
        </w:rPr>
        <w:t>-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наукової роботи аспіранта вносяться: назва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перезарахованого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</w:t>
      </w:r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, загальна кількість годин/кредитів, оцінка та підстава щодо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(номер академічної довідки, додатку до диплому тощо). Оцінки проставляються за чинною в Університеті шкалою. </w:t>
      </w:r>
    </w:p>
    <w:p w:rsidR="00B470FC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4. Результати складання академічної різниці фіксуються у відомості обліку успішності, навчальній картці та заліковій книжці здобувача вищої освіти. Відомості академічної різниці реєструються у реєстраційному журналі </w:t>
      </w:r>
      <w:r w:rsidRPr="005B5E54">
        <w:rPr>
          <w:rFonts w:ascii="Times New Roman" w:hAnsi="Times New Roman" w:cs="Times New Roman"/>
          <w:sz w:val="28"/>
          <w:lang w:val="uk-UA"/>
        </w:rPr>
        <w:lastRenderedPageBreak/>
        <w:t>видачі залікових й екзаменаційних відомостей для складання іспитів та заліків. Результати складання академічної різниці здобувачів третього (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освітньо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- наукового) рівня вищої освіти вносяться до індивідуального плану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освітньо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- наукової роботи аспіранта. 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5. У додаток до диплома вносяться усі обов’язкові та вибіркові </w:t>
      </w:r>
      <w:r w:rsidR="00850379">
        <w:rPr>
          <w:rFonts w:ascii="Times New Roman" w:hAnsi="Times New Roman" w:cs="Times New Roman"/>
          <w:sz w:val="28"/>
          <w:lang w:val="uk-UA"/>
        </w:rPr>
        <w:t>ОК</w:t>
      </w:r>
      <w:r w:rsidRPr="005B5E54">
        <w:rPr>
          <w:rFonts w:ascii="Times New Roman" w:hAnsi="Times New Roman" w:cs="Times New Roman"/>
          <w:sz w:val="28"/>
          <w:lang w:val="uk-UA"/>
        </w:rPr>
        <w:t xml:space="preserve"> навчального плану освітньої програми, у тому числі ті, що були визнані та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перезараховані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>, визначені та складені як академічна різниця. Вибір</w:t>
      </w:r>
      <w:r w:rsidR="00850379">
        <w:rPr>
          <w:rFonts w:ascii="Times New Roman" w:hAnsi="Times New Roman" w:cs="Times New Roman"/>
          <w:sz w:val="28"/>
          <w:lang w:val="uk-UA"/>
        </w:rPr>
        <w:t xml:space="preserve">кові </w:t>
      </w:r>
      <w:proofErr w:type="spellStart"/>
      <w:r w:rsidR="00370D27">
        <w:rPr>
          <w:rFonts w:ascii="Times New Roman" w:hAnsi="Times New Roman" w:cs="Times New Roman"/>
          <w:sz w:val="28"/>
          <w:lang w:val="uk-UA"/>
        </w:rPr>
        <w:t>ОК</w:t>
      </w:r>
      <w:r w:rsidR="00850379">
        <w:rPr>
          <w:rFonts w:ascii="Times New Roman" w:hAnsi="Times New Roman" w:cs="Times New Roman"/>
          <w:sz w:val="28"/>
          <w:lang w:val="uk-UA"/>
        </w:rPr>
        <w:t>здобувач</w:t>
      </w:r>
      <w:r w:rsidRPr="005B5E54">
        <w:rPr>
          <w:rFonts w:ascii="Times New Roman" w:hAnsi="Times New Roman" w:cs="Times New Roman"/>
          <w:sz w:val="28"/>
          <w:lang w:val="uk-UA"/>
        </w:rPr>
        <w:t>а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вищої освіти можуть відрізнятися. </w:t>
      </w:r>
    </w:p>
    <w:p w:rsidR="00D07838" w:rsidRPr="005B5E54" w:rsidRDefault="00D07838" w:rsidP="00D078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B5E54">
        <w:rPr>
          <w:rFonts w:ascii="Times New Roman" w:hAnsi="Times New Roman" w:cs="Times New Roman"/>
          <w:b/>
          <w:sz w:val="28"/>
          <w:lang w:val="uk-UA"/>
        </w:rPr>
        <w:t>6. Прикінцеві положення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>1. Це Положення набуває чинності після його ухвалення Вченою радою університету і затвердження наказом ректора.</w:t>
      </w:r>
    </w:p>
    <w:p w:rsidR="00D07838" w:rsidRPr="005B5E54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>2. Зміни та доповнення до цього Положення вносяться за рішенням Вченої ради університету й затверджуються наказом ректора.</w:t>
      </w:r>
    </w:p>
    <w:p w:rsidR="00517BFA" w:rsidRDefault="00D07838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B5E54">
        <w:rPr>
          <w:rFonts w:ascii="Times New Roman" w:hAnsi="Times New Roman" w:cs="Times New Roman"/>
          <w:sz w:val="28"/>
          <w:lang w:val="uk-UA"/>
        </w:rPr>
        <w:t xml:space="preserve">3. Визнати таким, що втратило чинність Положення №  про </w:t>
      </w:r>
      <w:proofErr w:type="spellStart"/>
      <w:r w:rsidRPr="005B5E54">
        <w:rPr>
          <w:rFonts w:ascii="Times New Roman" w:hAnsi="Times New Roman" w:cs="Times New Roman"/>
          <w:sz w:val="28"/>
          <w:lang w:val="uk-UA"/>
        </w:rPr>
        <w:t>перезарахування</w:t>
      </w:r>
      <w:proofErr w:type="spellEnd"/>
      <w:r w:rsidRPr="005B5E54">
        <w:rPr>
          <w:rFonts w:ascii="Times New Roman" w:hAnsi="Times New Roman" w:cs="Times New Roman"/>
          <w:sz w:val="28"/>
          <w:lang w:val="uk-UA"/>
        </w:rPr>
        <w:t xml:space="preserve"> навчальних дисциплін та визначення академічної різниці у Мелітопольському державному педагогічному університеті імені Богдана Хмельницького (затверджено наказом № від р.).</w:t>
      </w:r>
      <w:r w:rsidRPr="00D07838">
        <w:rPr>
          <w:rFonts w:ascii="Times New Roman" w:hAnsi="Times New Roman" w:cs="Times New Roman"/>
          <w:sz w:val="28"/>
          <w:lang w:val="uk-UA"/>
        </w:rPr>
        <w:t xml:space="preserve">  </w:t>
      </w:r>
    </w:p>
    <w:p w:rsidR="00B470FC" w:rsidRDefault="00B470FC" w:rsidP="00D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296E70" w:rsidRPr="00C75106" w:rsidRDefault="00C75106" w:rsidP="00C751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C75106">
        <w:rPr>
          <w:rFonts w:ascii="Times New Roman" w:hAnsi="Times New Roman" w:cs="Times New Roman"/>
          <w:b/>
          <w:sz w:val="28"/>
          <w:lang w:val="uk-UA"/>
        </w:rPr>
        <w:t>Додаток 1</w:t>
      </w:r>
    </w:p>
    <w:p w:rsidR="00C75106" w:rsidRPr="008051B4" w:rsidRDefault="00C75106" w:rsidP="00C751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Протокол № ___</w:t>
      </w:r>
    </w:p>
    <w:p w:rsidR="00C75106" w:rsidRPr="008F76E2" w:rsidRDefault="00C75106" w:rsidP="00C751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F76E2"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>
        <w:rPr>
          <w:rFonts w:ascii="Times New Roman" w:hAnsi="Times New Roman" w:cs="Times New Roman"/>
          <w:sz w:val="26"/>
          <w:szCs w:val="26"/>
          <w:lang w:val="uk-UA"/>
        </w:rPr>
        <w:t>експертної комісії</w:t>
      </w:r>
    </w:p>
    <w:p w:rsidR="00C75106" w:rsidRDefault="00C75106" w:rsidP="00C751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</w:t>
      </w:r>
    </w:p>
    <w:p w:rsidR="00C75106" w:rsidRPr="00CD0678" w:rsidRDefault="00C75106" w:rsidP="00C751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D0678">
        <w:rPr>
          <w:rFonts w:ascii="Times New Roman" w:hAnsi="Times New Roman" w:cs="Times New Roman"/>
          <w:sz w:val="18"/>
          <w:szCs w:val="18"/>
          <w:lang w:val="uk-UA"/>
        </w:rPr>
        <w:t>(назва факультету)</w:t>
      </w:r>
    </w:p>
    <w:p w:rsidR="00C75106" w:rsidRDefault="00C75106" w:rsidP="00C751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Мелітопольського державного педагогічного університету</w:t>
      </w:r>
    </w:p>
    <w:p w:rsidR="00C75106" w:rsidRPr="008F76E2" w:rsidRDefault="00C75106" w:rsidP="00C751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F76E2">
        <w:rPr>
          <w:rFonts w:ascii="Times New Roman" w:hAnsi="Times New Roman" w:cs="Times New Roman"/>
          <w:sz w:val="26"/>
          <w:szCs w:val="26"/>
          <w:lang w:val="uk-UA"/>
        </w:rPr>
        <w:t>імені Богдана Хмельницького</w:t>
      </w:r>
    </w:p>
    <w:p w:rsidR="00C75106" w:rsidRPr="008F76E2" w:rsidRDefault="00C75106" w:rsidP="00C751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F76E2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>____ _________ _____</w:t>
      </w:r>
      <w:r w:rsidRPr="008F76E2">
        <w:rPr>
          <w:rFonts w:ascii="Times New Roman" w:hAnsi="Times New Roman" w:cs="Times New Roman"/>
          <w:sz w:val="26"/>
          <w:szCs w:val="26"/>
          <w:lang w:val="uk-UA"/>
        </w:rPr>
        <w:t> р.</w:t>
      </w:r>
    </w:p>
    <w:p w:rsidR="00C75106" w:rsidRDefault="00C75106" w:rsidP="00C75106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C75106" w:rsidRPr="00613F38" w:rsidRDefault="00C75106" w:rsidP="00C751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F38">
        <w:rPr>
          <w:rFonts w:ascii="Times New Roman" w:hAnsi="Times New Roman" w:cs="Times New Roman"/>
          <w:b/>
          <w:sz w:val="26"/>
          <w:szCs w:val="26"/>
          <w:lang w:val="uk-UA"/>
        </w:rPr>
        <w:t>Присутні:</w:t>
      </w:r>
      <w:r w:rsidR="00A0228B">
        <w:rPr>
          <w:rFonts w:ascii="Times New Roman" w:hAnsi="Times New Roman" w:cs="Times New Roman"/>
          <w:sz w:val="26"/>
          <w:szCs w:val="26"/>
          <w:lang w:val="uk-UA"/>
        </w:rPr>
        <w:t xml:space="preserve"> члени експертної комісії (за наказом)</w:t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5106" w:rsidRDefault="00C75106" w:rsidP="00C751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3F38">
        <w:rPr>
          <w:rFonts w:ascii="Times New Roman" w:hAnsi="Times New Roman" w:cs="Times New Roman"/>
          <w:b/>
          <w:sz w:val="26"/>
          <w:szCs w:val="26"/>
          <w:lang w:val="uk-UA"/>
        </w:rPr>
        <w:t>Секретар комісії:</w:t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_______________________________________________________</w:t>
      </w:r>
    </w:p>
    <w:p w:rsidR="00C75106" w:rsidRPr="00CD0678" w:rsidRDefault="00C75106" w:rsidP="00C75106">
      <w:pPr>
        <w:spacing w:line="240" w:lineRule="auto"/>
        <w:ind w:firstLine="567"/>
        <w:jc w:val="center"/>
        <w:rPr>
          <w:rFonts w:ascii="Times New Roman" w:hAnsi="Times New Roman"/>
          <w:sz w:val="18"/>
          <w:szCs w:val="18"/>
          <w:lang w:val="uk-UA"/>
        </w:rPr>
      </w:pPr>
      <w:r w:rsidRPr="00CD0678">
        <w:rPr>
          <w:rFonts w:ascii="Times New Roman" w:hAnsi="Times New Roman"/>
          <w:sz w:val="18"/>
          <w:szCs w:val="18"/>
          <w:lang w:val="uk-UA"/>
        </w:rPr>
        <w:t>(посада, прізвище, ім’я, по батькові)</w:t>
      </w:r>
    </w:p>
    <w:p w:rsidR="00C75106" w:rsidRDefault="00C75106" w:rsidP="00C75106">
      <w:pPr>
        <w:spacing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C75106" w:rsidRPr="00613F38" w:rsidRDefault="00C75106" w:rsidP="00C75106">
      <w:pPr>
        <w:spacing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 w:rsidRPr="00CD0678">
        <w:rPr>
          <w:rFonts w:ascii="Times New Roman" w:hAnsi="Times New Roman"/>
          <w:b/>
          <w:sz w:val="26"/>
          <w:szCs w:val="26"/>
          <w:lang w:val="uk-UA"/>
        </w:rPr>
        <w:t>Порядок денний</w:t>
      </w:r>
      <w:r w:rsidRPr="00613F38">
        <w:rPr>
          <w:rFonts w:ascii="Times New Roman" w:hAnsi="Times New Roman"/>
          <w:sz w:val="26"/>
          <w:szCs w:val="26"/>
          <w:lang w:val="uk-UA"/>
        </w:rPr>
        <w:t>:</w:t>
      </w:r>
    </w:p>
    <w:p w:rsidR="00C75106" w:rsidRPr="00613F38" w:rsidRDefault="00C75106" w:rsidP="00C75106">
      <w:pPr>
        <w:pStyle w:val="1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613F38">
        <w:rPr>
          <w:rFonts w:ascii="Times New Roman" w:hAnsi="Times New Roman"/>
          <w:sz w:val="26"/>
          <w:szCs w:val="26"/>
          <w:lang w:val="uk-UA"/>
        </w:rPr>
        <w:t>Про вирішення суперечливих питань із ви</w:t>
      </w:r>
      <w:r>
        <w:rPr>
          <w:rFonts w:ascii="Times New Roman" w:hAnsi="Times New Roman"/>
          <w:sz w:val="26"/>
          <w:szCs w:val="26"/>
          <w:lang w:val="uk-UA"/>
        </w:rPr>
        <w:t xml:space="preserve">знання результатів навчання та </w:t>
      </w:r>
      <w:proofErr w:type="spellStart"/>
      <w:r w:rsidRPr="00613F38">
        <w:rPr>
          <w:rFonts w:ascii="Times New Roman" w:hAnsi="Times New Roman"/>
          <w:sz w:val="26"/>
          <w:szCs w:val="26"/>
          <w:lang w:val="uk-UA"/>
        </w:rPr>
        <w:t>перезарахування</w:t>
      </w:r>
      <w:proofErr w:type="spellEnd"/>
      <w:r w:rsidRPr="00613F38">
        <w:rPr>
          <w:rFonts w:ascii="Times New Roman" w:hAnsi="Times New Roman"/>
          <w:sz w:val="26"/>
          <w:szCs w:val="26"/>
          <w:lang w:val="uk-UA"/>
        </w:rPr>
        <w:t xml:space="preserve"> кредитів </w:t>
      </w:r>
      <w:r w:rsidR="00ED6C0B" w:rsidRPr="005B5E54">
        <w:rPr>
          <w:rFonts w:ascii="Times New Roman" w:hAnsi="Times New Roman"/>
          <w:sz w:val="28"/>
          <w:lang w:val="uk-UA"/>
        </w:rPr>
        <w:t>ECTS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13F38">
        <w:rPr>
          <w:rFonts w:ascii="Times New Roman" w:hAnsi="Times New Roman"/>
          <w:sz w:val="26"/>
          <w:szCs w:val="26"/>
          <w:lang w:val="uk-UA"/>
        </w:rPr>
        <w:t xml:space="preserve">з освітніх компонентів здобувача </w:t>
      </w:r>
      <w:r>
        <w:rPr>
          <w:rFonts w:ascii="Times New Roman" w:hAnsi="Times New Roman"/>
          <w:sz w:val="26"/>
          <w:szCs w:val="26"/>
          <w:lang w:val="uk-UA"/>
        </w:rPr>
        <w:t xml:space="preserve">вищої </w:t>
      </w:r>
      <w:r w:rsidRPr="00613F38">
        <w:rPr>
          <w:rFonts w:ascii="Times New Roman" w:hAnsi="Times New Roman"/>
          <w:sz w:val="26"/>
          <w:szCs w:val="26"/>
          <w:lang w:val="uk-UA"/>
        </w:rPr>
        <w:t>освіти, ___ курсу ____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Pr="00613F38">
        <w:rPr>
          <w:rFonts w:ascii="Times New Roman" w:hAnsi="Times New Roman"/>
          <w:sz w:val="26"/>
          <w:szCs w:val="26"/>
          <w:lang w:val="uk-UA"/>
        </w:rPr>
        <w:t>групи, ___</w:t>
      </w:r>
      <w:r>
        <w:rPr>
          <w:rFonts w:ascii="Times New Roman" w:hAnsi="Times New Roman"/>
          <w:sz w:val="26"/>
          <w:szCs w:val="26"/>
          <w:lang w:val="uk-UA"/>
        </w:rPr>
        <w:t>________</w:t>
      </w:r>
      <w:r w:rsidRPr="00613F38">
        <w:rPr>
          <w:rFonts w:ascii="Times New Roman" w:hAnsi="Times New Roman"/>
          <w:sz w:val="26"/>
          <w:szCs w:val="26"/>
          <w:lang w:val="uk-UA"/>
        </w:rPr>
        <w:t>__спеціальності, освітньої програми, ПІБ</w:t>
      </w:r>
    </w:p>
    <w:p w:rsidR="00C75106" w:rsidRPr="00613F38" w:rsidRDefault="00C75106" w:rsidP="00C75106">
      <w:pPr>
        <w:pStyle w:val="1"/>
        <w:spacing w:line="240" w:lineRule="auto"/>
        <w:ind w:left="411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75106" w:rsidRPr="00613F38" w:rsidRDefault="00C75106" w:rsidP="00C75106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613F38">
        <w:rPr>
          <w:rFonts w:ascii="Times New Roman" w:hAnsi="Times New Roman"/>
          <w:b/>
          <w:sz w:val="26"/>
          <w:szCs w:val="26"/>
          <w:lang w:val="uk-UA"/>
        </w:rPr>
        <w:t xml:space="preserve">Слухали: </w:t>
      </w:r>
    </w:p>
    <w:p w:rsidR="00C75106" w:rsidRDefault="00C75106" w:rsidP="00C75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3F38">
        <w:rPr>
          <w:rFonts w:ascii="Times New Roman" w:hAnsi="Times New Roman" w:cs="Times New Roman"/>
          <w:sz w:val="26"/>
          <w:szCs w:val="26"/>
          <w:lang w:val="uk-UA"/>
        </w:rPr>
        <w:t xml:space="preserve">Гаранта освітньої програми 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</w:t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</w:t>
      </w:r>
    </w:p>
    <w:p w:rsidR="00C75106" w:rsidRDefault="00C75106" w:rsidP="00C75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(посада, ПІБ)</w:t>
      </w:r>
    </w:p>
    <w:p w:rsidR="00C75106" w:rsidRPr="00613F38" w:rsidRDefault="00C75106" w:rsidP="00C751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</w:t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D0678">
        <w:rPr>
          <w:rFonts w:ascii="Times New Roman" w:hAnsi="Times New Roman" w:cs="Times New Roman"/>
          <w:sz w:val="18"/>
          <w:szCs w:val="18"/>
          <w:lang w:val="uk-UA"/>
        </w:rPr>
        <w:t>(назва освітньої програми)</w:t>
      </w:r>
    </w:p>
    <w:p w:rsidR="00887841" w:rsidRDefault="00C75106" w:rsidP="00F81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3F38">
        <w:rPr>
          <w:rFonts w:ascii="Times New Roman" w:hAnsi="Times New Roman" w:cs="Times New Roman"/>
          <w:sz w:val="26"/>
          <w:szCs w:val="26"/>
          <w:lang w:val="uk-UA"/>
        </w:rPr>
        <w:t>Експертною комісією було проаналізовано додаток до диплому №_________ від ____________ назва закладу освіти (академічну довідку №__________ від ___________ назва закладу освіти) та навчальні плани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(робочу програму) </w:t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 xml:space="preserve">і програмні </w:t>
      </w:r>
      <w:r w:rsidR="00887841">
        <w:rPr>
          <w:rFonts w:ascii="Times New Roman" w:hAnsi="Times New Roman" w:cs="Times New Roman"/>
          <w:sz w:val="26"/>
          <w:szCs w:val="26"/>
          <w:lang w:val="uk-UA"/>
        </w:rPr>
        <w:t>результати навчання ОП (назва) та визначено ОК,</w:t>
      </w:r>
      <w:r w:rsidR="00F8126F">
        <w:rPr>
          <w:rFonts w:ascii="Times New Roman" w:hAnsi="Times New Roman" w:cs="Times New Roman"/>
          <w:sz w:val="26"/>
          <w:szCs w:val="26"/>
          <w:lang w:val="uk-UA"/>
        </w:rPr>
        <w:t xml:space="preserve"> які підлягають </w:t>
      </w:r>
      <w:proofErr w:type="spellStart"/>
      <w:r w:rsidR="00F8126F">
        <w:rPr>
          <w:rFonts w:ascii="Times New Roman" w:hAnsi="Times New Roman" w:cs="Times New Roman"/>
          <w:sz w:val="26"/>
          <w:szCs w:val="26"/>
          <w:lang w:val="uk-UA"/>
        </w:rPr>
        <w:t>перезарахуванню</w:t>
      </w:r>
      <w:proofErr w:type="spellEnd"/>
      <w:r w:rsidR="00F8126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5106" w:rsidRDefault="00C75106" w:rsidP="00C75106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13F38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Виступили: </w:t>
      </w:r>
    </w:p>
    <w:p w:rsidR="00C75106" w:rsidRPr="00C53D87" w:rsidRDefault="00C75106" w:rsidP="00C75106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декана з навчальної роботи звернула увагу на те, що при переведенні здобувач повинен виконати вимоги</w:t>
      </w:r>
      <w:r w:rsidR="006E6EBC">
        <w:rPr>
          <w:rFonts w:ascii="Times New Roman" w:hAnsi="Times New Roman" w:cs="Times New Roman"/>
          <w:sz w:val="26"/>
          <w:szCs w:val="26"/>
          <w:lang w:val="uk-UA"/>
        </w:rPr>
        <w:t xml:space="preserve"> вступників на освітню програму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поновлення на навчання або не пізніше дати допуску до атестації здобувачів вищої освіти, мати підтверджуючи військово-облікові документи (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бути зареєстрованим  </w:t>
      </w:r>
      <w:r w:rsidRPr="00C53D87">
        <w:rPr>
          <w:rFonts w:ascii="Times New Roman" w:hAnsi="Times New Roman" w:cs="Times New Roman"/>
          <w:i/>
          <w:sz w:val="26"/>
          <w:szCs w:val="26"/>
          <w:lang w:val="uk-UA"/>
        </w:rPr>
        <w:t>на обліку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</w:t>
      </w:r>
      <w:r w:rsidRPr="00C53D8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ТЦК</w:t>
      </w:r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C75106" w:rsidRDefault="00C75106" w:rsidP="00C7510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Інформація про наявність переднього навчання з ЄДЕБО.</w:t>
      </w:r>
    </w:p>
    <w:p w:rsidR="00C75106" w:rsidRPr="00613F38" w:rsidRDefault="00C75106" w:rsidP="00C7510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Ухвалили:</w:t>
      </w:r>
    </w:p>
    <w:p w:rsidR="00C75106" w:rsidRPr="00613F38" w:rsidRDefault="00C75106" w:rsidP="00C75106">
      <w:pPr>
        <w:pStyle w:val="a3"/>
        <w:numPr>
          <w:ilvl w:val="0"/>
          <w:numId w:val="3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3F38">
        <w:rPr>
          <w:rFonts w:ascii="Times New Roman" w:hAnsi="Times New Roman" w:cs="Times New Roman"/>
          <w:sz w:val="26"/>
          <w:szCs w:val="26"/>
          <w:lang w:val="uk-UA"/>
        </w:rPr>
        <w:t xml:space="preserve">Визнати освітні компоненти (прописати всі ОК за додатком (академічною довідкою), які можливо </w:t>
      </w:r>
      <w:proofErr w:type="spellStart"/>
      <w:r w:rsidRPr="00613F38">
        <w:rPr>
          <w:rFonts w:ascii="Times New Roman" w:hAnsi="Times New Roman" w:cs="Times New Roman"/>
          <w:sz w:val="26"/>
          <w:szCs w:val="26"/>
          <w:lang w:val="uk-UA"/>
        </w:rPr>
        <w:t>перезарахувати</w:t>
      </w:r>
      <w:proofErr w:type="spellEnd"/>
      <w:r w:rsidR="00F8126F">
        <w:rPr>
          <w:rFonts w:ascii="Times New Roman" w:hAnsi="Times New Roman" w:cs="Times New Roman"/>
          <w:sz w:val="26"/>
          <w:szCs w:val="26"/>
          <w:lang w:val="uk-UA"/>
        </w:rPr>
        <w:t xml:space="preserve"> та кредити </w:t>
      </w:r>
      <w:r w:rsidR="009C2DC8" w:rsidRPr="005B5E54">
        <w:rPr>
          <w:rFonts w:ascii="Times New Roman" w:hAnsi="Times New Roman" w:cs="Times New Roman"/>
          <w:sz w:val="28"/>
          <w:lang w:val="uk-UA"/>
        </w:rPr>
        <w:t>ECTS</w:t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 xml:space="preserve">) такими, що можуть бути </w:t>
      </w:r>
      <w:proofErr w:type="spellStart"/>
      <w:r w:rsidRPr="00613F38">
        <w:rPr>
          <w:rFonts w:ascii="Times New Roman" w:hAnsi="Times New Roman" w:cs="Times New Roman"/>
          <w:sz w:val="26"/>
          <w:szCs w:val="26"/>
          <w:lang w:val="uk-UA"/>
        </w:rPr>
        <w:t>перезараховані</w:t>
      </w:r>
      <w:proofErr w:type="spellEnd"/>
      <w:r w:rsidRPr="00613F38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освітніх компонентів (прописати всі ОК за освітнь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>ю програмою) освітньої програми (назва), спеціальності.</w:t>
      </w:r>
    </w:p>
    <w:p w:rsidR="006E6EBC" w:rsidRPr="00173B1E" w:rsidRDefault="00C75106" w:rsidP="006E6EBC">
      <w:pPr>
        <w:pStyle w:val="a3"/>
        <w:numPr>
          <w:ilvl w:val="0"/>
          <w:numId w:val="3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Поновити здобувача_______________, за умови виконання вимог до вступників на відповідну ОП, встановлених в рік початку навчання контингенту здобувачів освіти за відповідним рівнем освіти. </w:t>
      </w:r>
      <w:r w:rsidR="006E6EBC" w:rsidRPr="006E6EB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У разі невиконання цієї вимоги</w:t>
      </w:r>
      <w:r w:rsidR="006E6E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6EBC" w:rsidRPr="006E6EB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не пізніше дати допуску до атестації</w:t>
      </w:r>
      <w:r w:rsidR="006E6EBC">
        <w:rPr>
          <w:rFonts w:ascii="Times New Roman" w:hAnsi="Times New Roman" w:cs="Times New Roman"/>
          <w:sz w:val="26"/>
          <w:szCs w:val="26"/>
          <w:lang w:val="uk-UA"/>
        </w:rPr>
        <w:t xml:space="preserve"> ________________ буде відраховано зі</w:t>
      </w:r>
      <w:r w:rsidR="00F8126F">
        <w:rPr>
          <w:rFonts w:ascii="Times New Roman" w:hAnsi="Times New Roman" w:cs="Times New Roman"/>
          <w:sz w:val="26"/>
          <w:szCs w:val="26"/>
          <w:lang w:val="uk-UA"/>
        </w:rPr>
        <w:t xml:space="preserve"> складу здобувачів вищої освіти. (пункт для поновлення здобувачів)</w:t>
      </w:r>
    </w:p>
    <w:p w:rsidR="00C75106" w:rsidRDefault="00C75106" w:rsidP="00C7510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5106" w:rsidRDefault="00C75106" w:rsidP="00C7510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5106" w:rsidRDefault="00C75106" w:rsidP="00C7510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5106" w:rsidRPr="00613F38" w:rsidRDefault="00C75106" w:rsidP="00C7510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5106" w:rsidRDefault="00C75106" w:rsidP="00C75106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13F38">
        <w:rPr>
          <w:rFonts w:ascii="Times New Roman" w:hAnsi="Times New Roman" w:cs="Times New Roman"/>
          <w:sz w:val="26"/>
          <w:szCs w:val="26"/>
          <w:lang w:val="uk-UA"/>
        </w:rPr>
        <w:t xml:space="preserve">Секретар </w:t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E6EBC">
        <w:rPr>
          <w:rFonts w:ascii="Times New Roman" w:hAnsi="Times New Roman" w:cs="Times New Roman"/>
          <w:sz w:val="26"/>
          <w:szCs w:val="26"/>
          <w:lang w:val="uk-UA"/>
        </w:rPr>
        <w:t>___________________</w:t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13F38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E6EBC">
        <w:rPr>
          <w:rFonts w:ascii="Times New Roman" w:hAnsi="Times New Roman" w:cs="Times New Roman"/>
          <w:sz w:val="26"/>
          <w:szCs w:val="26"/>
          <w:lang w:val="uk-UA"/>
        </w:rPr>
        <w:t>________________</w:t>
      </w:r>
    </w:p>
    <w:p w:rsidR="00C75106" w:rsidRPr="006E6EBC" w:rsidRDefault="006E6EBC" w:rsidP="00C7510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6E6EBC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</w:t>
      </w:r>
      <w:r w:rsidRPr="006E6EBC">
        <w:rPr>
          <w:rFonts w:ascii="Times New Roman" w:hAnsi="Times New Roman" w:cs="Times New Roman"/>
          <w:sz w:val="18"/>
          <w:szCs w:val="18"/>
          <w:lang w:val="uk-UA"/>
        </w:rPr>
        <w:t xml:space="preserve"> (підпис)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</w:t>
      </w:r>
      <w:r w:rsidRPr="006E6EBC">
        <w:rPr>
          <w:rFonts w:ascii="Times New Roman" w:hAnsi="Times New Roman" w:cs="Times New Roman"/>
          <w:sz w:val="18"/>
          <w:szCs w:val="18"/>
          <w:lang w:val="uk-UA"/>
        </w:rPr>
        <w:t xml:space="preserve"> (ім’я, по батькові)</w:t>
      </w:r>
    </w:p>
    <w:p w:rsidR="00C75106" w:rsidRDefault="00C75106" w:rsidP="00C7510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6E70" w:rsidRDefault="00296E70" w:rsidP="00B47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296E70" w:rsidRDefault="00296E70" w:rsidP="00B47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296E70" w:rsidRDefault="00296E70" w:rsidP="00B47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FC60D8" w:rsidRDefault="00FC60D8" w:rsidP="00FC60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</w:p>
    <w:sectPr w:rsidR="00FC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0AB"/>
    <w:multiLevelType w:val="hybridMultilevel"/>
    <w:tmpl w:val="EC0E6BC0"/>
    <w:lvl w:ilvl="0" w:tplc="3B326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50024B"/>
    <w:multiLevelType w:val="hybridMultilevel"/>
    <w:tmpl w:val="59C8A1E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95264"/>
    <w:multiLevelType w:val="hybridMultilevel"/>
    <w:tmpl w:val="0F5201D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A178EE"/>
    <w:multiLevelType w:val="multilevel"/>
    <w:tmpl w:val="393299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9802E3"/>
    <w:multiLevelType w:val="multilevel"/>
    <w:tmpl w:val="E41231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AB1141"/>
    <w:multiLevelType w:val="multilevel"/>
    <w:tmpl w:val="25EE6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75C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75C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917728"/>
    <w:multiLevelType w:val="hybridMultilevel"/>
    <w:tmpl w:val="DECA76FC"/>
    <w:lvl w:ilvl="0" w:tplc="79B22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C540F3"/>
    <w:multiLevelType w:val="hybridMultilevel"/>
    <w:tmpl w:val="99FA8958"/>
    <w:lvl w:ilvl="0" w:tplc="157C82C0">
      <w:start w:val="1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94109"/>
    <w:multiLevelType w:val="multilevel"/>
    <w:tmpl w:val="60783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75C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75C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B142EB"/>
    <w:multiLevelType w:val="multilevel"/>
    <w:tmpl w:val="C1F8D8C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103B75"/>
    <w:multiLevelType w:val="hybridMultilevel"/>
    <w:tmpl w:val="2CEE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63CEC"/>
    <w:multiLevelType w:val="hybridMultilevel"/>
    <w:tmpl w:val="A62EAF32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E356E"/>
    <w:multiLevelType w:val="multilevel"/>
    <w:tmpl w:val="07D25B1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2C7980"/>
    <w:multiLevelType w:val="hybridMultilevel"/>
    <w:tmpl w:val="76FC2E3E"/>
    <w:lvl w:ilvl="0" w:tplc="89E0D4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56C2C6E4">
      <w:numFmt w:val="none"/>
      <w:lvlText w:val=""/>
      <w:lvlJc w:val="left"/>
      <w:pPr>
        <w:tabs>
          <w:tab w:val="num" w:pos="360"/>
        </w:tabs>
      </w:pPr>
    </w:lvl>
    <w:lvl w:ilvl="2" w:tplc="B9440B38">
      <w:numFmt w:val="none"/>
      <w:lvlText w:val=""/>
      <w:lvlJc w:val="left"/>
      <w:pPr>
        <w:tabs>
          <w:tab w:val="num" w:pos="360"/>
        </w:tabs>
      </w:pPr>
    </w:lvl>
    <w:lvl w:ilvl="3" w:tplc="B316D52C">
      <w:numFmt w:val="none"/>
      <w:lvlText w:val=""/>
      <w:lvlJc w:val="left"/>
      <w:pPr>
        <w:tabs>
          <w:tab w:val="num" w:pos="360"/>
        </w:tabs>
      </w:pPr>
    </w:lvl>
    <w:lvl w:ilvl="4" w:tplc="B0541016">
      <w:numFmt w:val="none"/>
      <w:lvlText w:val=""/>
      <w:lvlJc w:val="left"/>
      <w:pPr>
        <w:tabs>
          <w:tab w:val="num" w:pos="360"/>
        </w:tabs>
      </w:pPr>
    </w:lvl>
    <w:lvl w:ilvl="5" w:tplc="92E290FE">
      <w:numFmt w:val="none"/>
      <w:lvlText w:val=""/>
      <w:lvlJc w:val="left"/>
      <w:pPr>
        <w:tabs>
          <w:tab w:val="num" w:pos="360"/>
        </w:tabs>
      </w:pPr>
    </w:lvl>
    <w:lvl w:ilvl="6" w:tplc="FE0A8A2A">
      <w:numFmt w:val="none"/>
      <w:lvlText w:val=""/>
      <w:lvlJc w:val="left"/>
      <w:pPr>
        <w:tabs>
          <w:tab w:val="num" w:pos="360"/>
        </w:tabs>
      </w:pPr>
    </w:lvl>
    <w:lvl w:ilvl="7" w:tplc="EA766E94">
      <w:numFmt w:val="none"/>
      <w:lvlText w:val=""/>
      <w:lvlJc w:val="left"/>
      <w:pPr>
        <w:tabs>
          <w:tab w:val="num" w:pos="360"/>
        </w:tabs>
      </w:pPr>
    </w:lvl>
    <w:lvl w:ilvl="8" w:tplc="959C300C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8C93BBC"/>
    <w:multiLevelType w:val="multilevel"/>
    <w:tmpl w:val="CB760A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976ED0"/>
    <w:multiLevelType w:val="hybridMultilevel"/>
    <w:tmpl w:val="FBE04B4A"/>
    <w:lvl w:ilvl="0" w:tplc="CC6492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2D796E"/>
    <w:multiLevelType w:val="hybridMultilevel"/>
    <w:tmpl w:val="B08A52AE"/>
    <w:lvl w:ilvl="0" w:tplc="DCCE66E4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36D26"/>
    <w:multiLevelType w:val="multilevel"/>
    <w:tmpl w:val="23BAE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8F46D9"/>
    <w:multiLevelType w:val="hybridMultilevel"/>
    <w:tmpl w:val="C27A5BB0"/>
    <w:lvl w:ilvl="0" w:tplc="44B64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15393A"/>
    <w:multiLevelType w:val="hybridMultilevel"/>
    <w:tmpl w:val="309AC94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8"/>
  </w:num>
  <w:num w:numId="5">
    <w:abstractNumId w:val="15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7"/>
  </w:num>
  <w:num w:numId="15">
    <w:abstractNumId w:val="11"/>
  </w:num>
  <w:num w:numId="16">
    <w:abstractNumId w:val="16"/>
  </w:num>
  <w:num w:numId="17">
    <w:abstractNumId w:val="14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26"/>
    <w:rsid w:val="000122F1"/>
    <w:rsid w:val="0001390A"/>
    <w:rsid w:val="000675C6"/>
    <w:rsid w:val="00096F6B"/>
    <w:rsid w:val="000A7A6E"/>
    <w:rsid w:val="000F7B46"/>
    <w:rsid w:val="001035EC"/>
    <w:rsid w:val="00116FC5"/>
    <w:rsid w:val="00161ED3"/>
    <w:rsid w:val="00194988"/>
    <w:rsid w:val="00270C5D"/>
    <w:rsid w:val="00296E70"/>
    <w:rsid w:val="002F4285"/>
    <w:rsid w:val="00370D27"/>
    <w:rsid w:val="003816BE"/>
    <w:rsid w:val="003E3B03"/>
    <w:rsid w:val="0042130A"/>
    <w:rsid w:val="00451EF8"/>
    <w:rsid w:val="00480DDA"/>
    <w:rsid w:val="004A73BD"/>
    <w:rsid w:val="004D2409"/>
    <w:rsid w:val="005110CD"/>
    <w:rsid w:val="00513C26"/>
    <w:rsid w:val="00517BFA"/>
    <w:rsid w:val="00577A6B"/>
    <w:rsid w:val="00596729"/>
    <w:rsid w:val="005B5E54"/>
    <w:rsid w:val="006470FC"/>
    <w:rsid w:val="00652B6F"/>
    <w:rsid w:val="00667F63"/>
    <w:rsid w:val="006B66AB"/>
    <w:rsid w:val="006E6EBC"/>
    <w:rsid w:val="006F2331"/>
    <w:rsid w:val="00722645"/>
    <w:rsid w:val="00741A23"/>
    <w:rsid w:val="00795C41"/>
    <w:rsid w:val="007A3CB3"/>
    <w:rsid w:val="00800644"/>
    <w:rsid w:val="00817C83"/>
    <w:rsid w:val="00850379"/>
    <w:rsid w:val="0086493B"/>
    <w:rsid w:val="008816A2"/>
    <w:rsid w:val="00887841"/>
    <w:rsid w:val="008C73B1"/>
    <w:rsid w:val="008D3316"/>
    <w:rsid w:val="009329ED"/>
    <w:rsid w:val="00955B3E"/>
    <w:rsid w:val="009C2DC8"/>
    <w:rsid w:val="009F29A9"/>
    <w:rsid w:val="009F502D"/>
    <w:rsid w:val="00A0228B"/>
    <w:rsid w:val="00A04CF7"/>
    <w:rsid w:val="00A7117A"/>
    <w:rsid w:val="00AA41B2"/>
    <w:rsid w:val="00B030CE"/>
    <w:rsid w:val="00B470FC"/>
    <w:rsid w:val="00B65E23"/>
    <w:rsid w:val="00BE48A1"/>
    <w:rsid w:val="00C00212"/>
    <w:rsid w:val="00C75106"/>
    <w:rsid w:val="00C80C33"/>
    <w:rsid w:val="00CB7933"/>
    <w:rsid w:val="00CD7527"/>
    <w:rsid w:val="00CF6A32"/>
    <w:rsid w:val="00D07838"/>
    <w:rsid w:val="00D20CFC"/>
    <w:rsid w:val="00D61FC5"/>
    <w:rsid w:val="00D92C1A"/>
    <w:rsid w:val="00DC0BDC"/>
    <w:rsid w:val="00DC71EE"/>
    <w:rsid w:val="00DD71E7"/>
    <w:rsid w:val="00E16FA3"/>
    <w:rsid w:val="00E674FC"/>
    <w:rsid w:val="00ED6C0B"/>
    <w:rsid w:val="00F020F5"/>
    <w:rsid w:val="00F11079"/>
    <w:rsid w:val="00F75342"/>
    <w:rsid w:val="00F8126F"/>
    <w:rsid w:val="00FA682C"/>
    <w:rsid w:val="00FB31D6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42112-D2BA-44D8-88A9-69D15BD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0FC"/>
    <w:pPr>
      <w:ind w:left="720"/>
      <w:contextualSpacing/>
    </w:pPr>
  </w:style>
  <w:style w:type="table" w:styleId="a4">
    <w:name w:val="Table Grid"/>
    <w:basedOn w:val="a1"/>
    <w:uiPriority w:val="39"/>
    <w:rsid w:val="006F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C7510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a6"/>
    <w:rsid w:val="00800644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Основной текст"/>
    <w:basedOn w:val="a"/>
    <w:link w:val="a5"/>
    <w:rsid w:val="00800644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CF6A32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CF6A32"/>
  </w:style>
  <w:style w:type="paragraph" w:styleId="a9">
    <w:name w:val="Balloon Text"/>
    <w:basedOn w:val="a"/>
    <w:link w:val="aa"/>
    <w:uiPriority w:val="99"/>
    <w:semiHidden/>
    <w:unhideWhenUsed/>
    <w:rsid w:val="00DC0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C0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10</Pages>
  <Words>14775</Words>
  <Characters>8422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46</cp:revision>
  <cp:lastPrinted>2025-04-07T09:50:00Z</cp:lastPrinted>
  <dcterms:created xsi:type="dcterms:W3CDTF">2025-01-29T08:39:00Z</dcterms:created>
  <dcterms:modified xsi:type="dcterms:W3CDTF">2026-02-13T12:00:00Z</dcterms:modified>
</cp:coreProperties>
</file>