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004FBD" w:rsidRDefault="00040422">
      <w:pPr>
        <w:pStyle w:val="a3"/>
        <w:tabs>
          <w:tab w:val="left" w:pos="0"/>
        </w:tabs>
        <w:ind w:left="0"/>
        <w:jc w:val="left"/>
        <w:rPr>
          <w:color w:val="000000"/>
        </w:rPr>
      </w:pPr>
      <w:bookmarkStart w:id="0" w:name="_heading=h.5der7ns2z9v4" w:colFirst="0" w:colLast="0"/>
      <w:bookmarkEnd w:id="0"/>
      <w:r>
        <w:rPr>
          <w:color w:val="000000"/>
        </w:rPr>
        <w:t>ЗАТВЕРДЖЕНО</w:t>
      </w:r>
    </w:p>
    <w:p w14:paraId="00000002" w14:textId="77777777" w:rsidR="00004FBD" w:rsidRDefault="00040422">
      <w:pPr>
        <w:pStyle w:val="a3"/>
        <w:tabs>
          <w:tab w:val="left" w:pos="0"/>
        </w:tabs>
        <w:ind w:left="0"/>
        <w:jc w:val="left"/>
        <w:rPr>
          <w:color w:val="000000"/>
        </w:rPr>
      </w:pPr>
      <w:r>
        <w:rPr>
          <w:color w:val="000000"/>
        </w:rPr>
        <w:t xml:space="preserve">Наказом Мелітопольського державного </w:t>
      </w:r>
    </w:p>
    <w:p w14:paraId="00000003" w14:textId="77777777" w:rsidR="00004FBD" w:rsidRDefault="00040422">
      <w:pPr>
        <w:pStyle w:val="a3"/>
        <w:tabs>
          <w:tab w:val="left" w:pos="0"/>
        </w:tabs>
        <w:ind w:left="0"/>
        <w:jc w:val="left"/>
        <w:rPr>
          <w:color w:val="000000"/>
        </w:rPr>
      </w:pPr>
      <w:r>
        <w:rPr>
          <w:color w:val="000000"/>
        </w:rPr>
        <w:t>педагогічного університету</w:t>
      </w:r>
    </w:p>
    <w:p w14:paraId="00000004" w14:textId="77777777" w:rsidR="00004FBD" w:rsidRDefault="00040422">
      <w:pPr>
        <w:pStyle w:val="a3"/>
        <w:tabs>
          <w:tab w:val="left" w:pos="0"/>
        </w:tabs>
        <w:ind w:left="0"/>
        <w:jc w:val="left"/>
        <w:rPr>
          <w:color w:val="000000"/>
        </w:rPr>
      </w:pPr>
      <w:r>
        <w:rPr>
          <w:color w:val="000000"/>
        </w:rPr>
        <w:t xml:space="preserve">імені Богдана Хмельницького </w:t>
      </w:r>
    </w:p>
    <w:p w14:paraId="00000005" w14:textId="77777777" w:rsidR="00004FBD" w:rsidRDefault="00040422">
      <w:pPr>
        <w:pStyle w:val="a3"/>
        <w:tabs>
          <w:tab w:val="left" w:pos="0"/>
        </w:tabs>
        <w:ind w:left="0"/>
        <w:jc w:val="left"/>
        <w:rPr>
          <w:color w:val="000000"/>
        </w:rPr>
      </w:pPr>
      <w:r>
        <w:rPr>
          <w:color w:val="000000"/>
        </w:rPr>
        <w:t xml:space="preserve">від               №  </w:t>
      </w:r>
    </w:p>
    <w:p w14:paraId="00000006" w14:textId="77777777" w:rsidR="00004FBD" w:rsidRDefault="00004FBD">
      <w:pPr>
        <w:pStyle w:val="a3"/>
        <w:tabs>
          <w:tab w:val="left" w:pos="0"/>
        </w:tabs>
        <w:ind w:left="0"/>
        <w:jc w:val="left"/>
        <w:rPr>
          <w:color w:val="000000"/>
        </w:rPr>
      </w:pPr>
    </w:p>
    <w:p w14:paraId="00000007" w14:textId="77777777" w:rsidR="00004FBD" w:rsidRDefault="00004FBD">
      <w:pPr>
        <w:pStyle w:val="a3"/>
        <w:tabs>
          <w:tab w:val="left" w:pos="0"/>
        </w:tabs>
        <w:ind w:left="0"/>
        <w:jc w:val="left"/>
        <w:rPr>
          <w:color w:val="000000"/>
        </w:rPr>
      </w:pPr>
    </w:p>
    <w:p w14:paraId="00000008" w14:textId="77777777" w:rsidR="00004FBD" w:rsidRDefault="00040422">
      <w:pPr>
        <w:pStyle w:val="a3"/>
        <w:tabs>
          <w:tab w:val="left" w:pos="0"/>
        </w:tabs>
        <w:ind w:left="0"/>
        <w:jc w:val="left"/>
        <w:rPr>
          <w:color w:val="000000"/>
        </w:rPr>
      </w:pPr>
      <w:r>
        <w:rPr>
          <w:color w:val="000000"/>
        </w:rPr>
        <w:t>УХВАЛЕНО</w:t>
      </w:r>
    </w:p>
    <w:p w14:paraId="00000009" w14:textId="77777777" w:rsidR="00004FBD" w:rsidRDefault="00040422">
      <w:pPr>
        <w:pStyle w:val="a3"/>
        <w:tabs>
          <w:tab w:val="left" w:pos="0"/>
        </w:tabs>
        <w:ind w:left="0"/>
        <w:jc w:val="left"/>
        <w:rPr>
          <w:color w:val="000000"/>
        </w:rPr>
      </w:pPr>
      <w:r>
        <w:rPr>
          <w:color w:val="000000"/>
        </w:rPr>
        <w:t>На засіданні Вченої ради</w:t>
      </w:r>
    </w:p>
    <w:p w14:paraId="0000000A" w14:textId="77777777" w:rsidR="00004FBD" w:rsidRDefault="00040422">
      <w:pPr>
        <w:pStyle w:val="a3"/>
        <w:tabs>
          <w:tab w:val="left" w:pos="0"/>
        </w:tabs>
        <w:ind w:left="0"/>
        <w:jc w:val="left"/>
        <w:rPr>
          <w:color w:val="000000"/>
        </w:rPr>
      </w:pPr>
      <w:r>
        <w:rPr>
          <w:color w:val="000000"/>
        </w:rPr>
        <w:t xml:space="preserve">Мелітопольського державного </w:t>
      </w:r>
    </w:p>
    <w:p w14:paraId="0000000B" w14:textId="77777777" w:rsidR="00004FBD" w:rsidRDefault="00040422">
      <w:pPr>
        <w:pStyle w:val="a3"/>
        <w:tabs>
          <w:tab w:val="left" w:pos="0"/>
        </w:tabs>
        <w:ind w:left="0"/>
        <w:jc w:val="left"/>
        <w:rPr>
          <w:color w:val="000000"/>
        </w:rPr>
      </w:pPr>
      <w:r>
        <w:rPr>
          <w:color w:val="000000"/>
        </w:rPr>
        <w:t>Педагогічного університету</w:t>
      </w:r>
    </w:p>
    <w:p w14:paraId="0000000C" w14:textId="77777777" w:rsidR="00004FBD" w:rsidRDefault="00040422">
      <w:pPr>
        <w:pStyle w:val="a3"/>
        <w:tabs>
          <w:tab w:val="left" w:pos="0"/>
        </w:tabs>
        <w:ind w:left="0"/>
        <w:jc w:val="left"/>
        <w:rPr>
          <w:color w:val="000000"/>
        </w:rPr>
      </w:pPr>
      <w:r>
        <w:rPr>
          <w:color w:val="000000"/>
        </w:rPr>
        <w:t xml:space="preserve">Імені Богдана Хмельницького </w:t>
      </w:r>
    </w:p>
    <w:p w14:paraId="0000000D" w14:textId="77777777" w:rsidR="00004FBD" w:rsidRDefault="00040422">
      <w:pPr>
        <w:pStyle w:val="a3"/>
        <w:tabs>
          <w:tab w:val="left" w:pos="0"/>
        </w:tabs>
        <w:ind w:left="0"/>
        <w:jc w:val="left"/>
        <w:rPr>
          <w:color w:val="000000"/>
        </w:rPr>
      </w:pPr>
      <w:r>
        <w:rPr>
          <w:color w:val="000000"/>
        </w:rPr>
        <w:t>від                     протокол №</w:t>
      </w:r>
    </w:p>
    <w:p w14:paraId="0000000E" w14:textId="77777777" w:rsidR="00004FBD" w:rsidRDefault="00040422">
      <w:pPr>
        <w:pStyle w:val="a3"/>
        <w:tabs>
          <w:tab w:val="left" w:pos="0"/>
        </w:tabs>
        <w:ind w:left="0"/>
        <w:jc w:val="left"/>
        <w:rPr>
          <w:color w:val="000000"/>
        </w:rPr>
      </w:pPr>
      <w:r>
        <w:rPr>
          <w:color w:val="000000"/>
        </w:rPr>
        <w:t>Голова Вченої ради</w:t>
      </w:r>
    </w:p>
    <w:p w14:paraId="0000000F" w14:textId="77777777" w:rsidR="00004FBD" w:rsidRDefault="00040422">
      <w:pPr>
        <w:pStyle w:val="a3"/>
        <w:tabs>
          <w:tab w:val="left" w:pos="0"/>
        </w:tabs>
        <w:ind w:left="0"/>
        <w:jc w:val="left"/>
        <w:rPr>
          <w:color w:val="000000"/>
        </w:rPr>
        <w:sectPr w:rsidR="00004FBD">
          <w:pgSz w:w="11906" w:h="16838"/>
          <w:pgMar w:top="850" w:right="850" w:bottom="850" w:left="1417" w:header="708" w:footer="708" w:gutter="0"/>
          <w:pgNumType w:start="1"/>
          <w:cols w:num="2" w:space="720" w:equalWidth="0">
            <w:col w:w="4465" w:space="708"/>
            <w:col w:w="4465" w:space="0"/>
          </w:cols>
        </w:sectPr>
      </w:pPr>
      <w:r>
        <w:rPr>
          <w:color w:val="000000"/>
          <w:u w:val="single"/>
        </w:rPr>
        <w:t xml:space="preserve">                          </w:t>
      </w:r>
      <w:r>
        <w:rPr>
          <w:color w:val="000000"/>
        </w:rPr>
        <w:t xml:space="preserve"> Наталя ФАЛЬКО</w:t>
      </w:r>
    </w:p>
    <w:p w14:paraId="00000010" w14:textId="77777777" w:rsidR="00004FBD" w:rsidRDefault="00004FB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77777777" w:rsidR="00004FBD" w:rsidRDefault="0004042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ПОЛОЖЕННЯ</w:t>
      </w:r>
    </w:p>
    <w:p w14:paraId="00000012" w14:textId="77777777" w:rsidR="00004FBD" w:rsidRDefault="0004042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 відділ з організаційно-виховної роботи та професійної орієнтації молоді</w:t>
      </w:r>
    </w:p>
    <w:p w14:paraId="00000013" w14:textId="77777777" w:rsidR="00004FBD" w:rsidRDefault="0004042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Мелітопольського державного педагогічного університету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імені Богдана Хмельницького</w:t>
      </w:r>
    </w:p>
    <w:p w14:paraId="00000014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I. Загальні положення</w:t>
      </w:r>
    </w:p>
    <w:p w14:paraId="00000015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Відділ з організаційно-виховної роботи та професійної орієнтації молоді є структурним підрозділом Мелітопольського державного педагогічного університету імені Богдана Хмельницького.</w:t>
      </w:r>
    </w:p>
    <w:p w14:paraId="00000016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Roboto" w:eastAsia="Roboto" w:hAnsi="Roboto" w:cs="Roboto"/>
          <w:color w:val="FFFFFF"/>
          <w:sz w:val="24"/>
          <w:szCs w:val="24"/>
          <w:shd w:val="clear" w:color="auto" w:fill="2121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Відділ керується у своїй роботі законами України «Про освіту», «Про вищу освіту», постановами та розпорядженнями Кабінету Міністрів України, наказами та розпорядженнями Міністерства освіти і науки України, іншими нормативно-правовими документами, які регламентують діяльність у галузі освіти, Статутом Університету, Правилами внутрішнього розпорядку Університету, наказами та розпорядженнями ректора Університету та цим Положенням. Відділ також керується законодавством України у сфері захисту персональних даних, інформаційної діяльності, реклами та комунікацій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(зокрема: Законом України «Про захист персональних даних» —</w:t>
      </w:r>
      <w:hyperlink r:id="rId5">
        <w:r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 xml:space="preserve"> </w:t>
        </w:r>
      </w:hyperlink>
      <w:hyperlink r:id="rId6">
        <w:r>
          <w:rPr>
            <w:rFonts w:ascii="Times New Roman" w:eastAsia="Times New Roman" w:hAnsi="Times New Roman" w:cs="Times New Roman"/>
            <w:i/>
            <w:iCs/>
            <w:color w:val="1155CC"/>
            <w:sz w:val="28"/>
            <w:szCs w:val="28"/>
            <w:u w:val="single"/>
          </w:rPr>
          <w:t>https://zakon.rada.gov.ua/go/2297-17</w:t>
        </w:r>
      </w:hyperlink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; Законом України «Про інформацію» —</w:t>
      </w:r>
      <w:hyperlink r:id="rId7">
        <w:r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 xml:space="preserve"> </w:t>
        </w:r>
      </w:hyperlink>
      <w:hyperlink r:id="rId8">
        <w:r>
          <w:rPr>
            <w:rFonts w:ascii="Times New Roman" w:eastAsia="Times New Roman" w:hAnsi="Times New Roman" w:cs="Times New Roman"/>
            <w:i/>
            <w:iCs/>
            <w:color w:val="1155CC"/>
            <w:sz w:val="28"/>
            <w:szCs w:val="28"/>
            <w:u w:val="single"/>
          </w:rPr>
          <w:t>https://zakon.rada.gov.ua/go/2657-12</w:t>
        </w:r>
      </w:hyperlink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; Законом України «Про рекламу» —</w:t>
      </w:r>
      <w:hyperlink r:id="rId9">
        <w:r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 xml:space="preserve"> </w:t>
        </w:r>
      </w:hyperlink>
      <w:hyperlink r:id="rId10">
        <w:r>
          <w:rPr>
            <w:rFonts w:ascii="Times New Roman" w:eastAsia="Times New Roman" w:hAnsi="Times New Roman" w:cs="Times New Roman"/>
            <w:i/>
            <w:iCs/>
            <w:color w:val="1155CC"/>
            <w:sz w:val="28"/>
            <w:szCs w:val="28"/>
            <w:u w:val="single"/>
          </w:rPr>
          <w:t>https://zakon.rada.gov.ua/go/270/96-вр</w:t>
        </w:r>
      </w:hyperlink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; Законом України «Про доступ до публічної інформації» —</w:t>
      </w:r>
      <w:hyperlink r:id="rId11">
        <w:r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 xml:space="preserve"> </w:t>
        </w:r>
      </w:hyperlink>
      <w:hyperlink r:id="rId12">
        <w:r>
          <w:rPr>
            <w:rFonts w:ascii="Times New Roman" w:eastAsia="Times New Roman" w:hAnsi="Times New Roman" w:cs="Times New Roman"/>
            <w:i/>
            <w:iCs/>
            <w:color w:val="1155CC"/>
            <w:sz w:val="28"/>
            <w:szCs w:val="28"/>
            <w:u w:val="single"/>
          </w:rPr>
          <w:t>https://zakon.rada.gov.ua/go/2939-17</w:t>
        </w:r>
      </w:hyperlink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7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Відділ підпорядковується ректору Університету.</w:t>
      </w:r>
    </w:p>
    <w:p w14:paraId="00000018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Безпосереднє керівництво роботою Відділу здійснює керівник Відділу. Керівник Відділу призначається та звільняється з посади наказом ректора Університету.</w:t>
      </w:r>
    </w:p>
    <w:p w14:paraId="00000019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Структура та штатний розпис Відділу визначаються та затверджуються ректором Університету з урахуванням завдань, поставлених перед Відділом. Зміни до штатного розпису Відділу затверджуються ректором Університету.</w:t>
      </w:r>
    </w:p>
    <w:p w14:paraId="0000001A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 Робота Відділу регламентується планом роботи Відділу, затвердженим ректором Університету.</w:t>
      </w:r>
    </w:p>
    <w:p w14:paraId="0000001B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1.7. Права та обов’язки працівників Відділу визначаються посадовими інструкціями, розробленими керівником Відділу та затвердженими ректором Університету.</w:t>
      </w:r>
    </w:p>
    <w:p w14:paraId="0000001C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II. Мета, завдання та функції Відділу</w:t>
      </w:r>
    </w:p>
    <w:p w14:paraId="0000001D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Метою діяльності Відділу є: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– створення умов для всебічного розкриття особистості та самореалізації здобувачів вищої освіти;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– надання учнівській молоді особистісно-орієнтованої допомоги у виявленні та розвитку здібностей, професійних і пізнавальних інтересів у виборі майбутньої професії;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– формування у молоді установок на необхідність професійного самовизначення, спонукання до активного пошуку, вибору і самостійного вирішення поставлених завдань, формування стійкого інтересу до професій та освітніх програм, що реалізуються в Університеті;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– популяризація бренду Університету.</w:t>
      </w:r>
    </w:p>
    <w:p w14:paraId="0000001E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До завдань та функцій Відділу входить:</w:t>
      </w:r>
    </w:p>
    <w:p w14:paraId="0000001F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2.2.1. Організаційне забезпечення та координація виховної діяльності в Університеті, зокрема в офлайн та онлайн форматах.</w:t>
      </w:r>
    </w:p>
    <w:p w14:paraId="00000020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2.2.2. Координація виховної, соціокультурної та профорієнтаційної роботи структурних підрозділів Університету.</w:t>
      </w:r>
    </w:p>
    <w:p w14:paraId="00000021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2.2.3. Планування, організація та контроль реалізації загальноуніверситетських виховних, національно-патріотичних, культурно-мистецьких, спортивних і соціальних заходів.</w:t>
      </w:r>
    </w:p>
    <w:p w14:paraId="00000022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2.2.4. Організація громадянського, національно-патріотичного та морально-етичного виховання здобувачів вищої освіти.</w:t>
      </w:r>
    </w:p>
    <w:p w14:paraId="00000023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2.2.5. Сприяння розвитку студентських ініціатив, лідерства, волонтерської та громадської активності здобувачів вищої освіти.</w:t>
      </w:r>
    </w:p>
    <w:p w14:paraId="00000024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2.2.6. Створення та впровадження системи морального та публічного стимулювання здобувачів вищої освіти, які беруть активну участь у виховній, громадській і творчій діяльності Університету.</w:t>
      </w:r>
    </w:p>
    <w:p w14:paraId="00000025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2.2.7. Організація інформаційного супроводу виховної та профорієнтаційної діяльності, зокрема через офіційний вебсайт Університету та сторінки в соціальних мережах.</w:t>
      </w:r>
    </w:p>
    <w:p w14:paraId="00000026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2.2.8. Реалізація цифрових комунікаційних стратегій Університету, включно з SMM-менеджментом, створенням мультимедійного контенту та розвитком онлайн-проєктів.</w:t>
      </w:r>
    </w:p>
    <w:p w14:paraId="00000027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2.2.9. </w:t>
      </w:r>
      <w:r>
        <w:rPr>
          <w:rFonts w:ascii="Times New Roman" w:eastAsia="Times New Roman" w:hAnsi="Times New Roman" w:cs="Times New Roman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абезпечення дотримання вимог законодавства України під час розміщення рекламно-інформаційних матеріалів та публічного використання фото-, відеоматеріалів.</w:t>
      </w:r>
    </w:p>
    <w:p w14:paraId="00000028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2.2.10. Сприяння участі здобувачів вищої освіти у діяльності органів студентського самоврядування, громадських, молодіжних і волонтерських організацій на місцевому, регіональному та всеукраїнському рівнях.</w:t>
      </w:r>
    </w:p>
    <w:p w14:paraId="00000029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2.2.11. Представлення Університету в освітньому, культурному та інформаційному просторі України шляхом участі у міжвузівських, регіональних, всеукраїнських і міжнародних заходах.</w:t>
      </w:r>
    </w:p>
    <w:p w14:paraId="0000002A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2.2.12. Організація міжфакультетської творчої, культурної та громадської взаємодії здобувачів вищої освіти.</w:t>
      </w:r>
    </w:p>
    <w:p w14:paraId="0000002B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2.2.13. Розроблення, координація та реалізація системи профорієнтаційної роботи з учнівською молоддю, вступниками та здобувачами освіти, забезпечення наступності та взаємозв’язку її складових.</w:t>
      </w:r>
    </w:p>
    <w:p w14:paraId="0000002C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2.2.14. Формування та впровадження сучасної, мобільної й варіативної системи професійної орієнтації молоді з урахуванням тенденцій ринку праці та освітніх потреб.</w:t>
      </w:r>
    </w:p>
    <w:p w14:paraId="0000002D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2.2.15. Організація та проведення профорієнтаційних заходів для учнів закладів загальної середньої освіти та здобувачів освіти інших закладів освіти в офлайн та онлайн форматах.</w:t>
      </w:r>
    </w:p>
    <w:p w14:paraId="0000002E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2.2.16. Розвиток співпраці з закладами загальної середньої, фахової передвищої та вищої освіти з питань професійної орієнтації та популяризації освітніх програм Університету.</w:t>
      </w:r>
    </w:p>
    <w:p w14:paraId="0000002F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2.2.17. Участь у плануванні та реалізації загальноуніверситетської діяльності з питань виховної, соціокультурної та профорієнтаційної роботи.</w:t>
      </w:r>
    </w:p>
    <w:p w14:paraId="00000030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2.2.18. Організація та проведення днів відкритих дверей, профорієнтаційних фестивалів, інтерактивних освітніх подій і презентацій освітніх програм Університету.</w:t>
      </w:r>
    </w:p>
    <w:p w14:paraId="00000031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2.2.19. Організація роботи з персональними даними вступників та учасників заходів відповідно до законодавства України та внутрішніх актів Університету.</w:t>
      </w:r>
    </w:p>
    <w:p w14:paraId="00000032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2.2.20. Інформаційна взаємодія з органами управління освітою, закладами освіти різних рівнів та іншими зацікавленими інституціями щодо проведення профорієнтаційних заходів.</w:t>
      </w:r>
    </w:p>
    <w:p w14:paraId="00000033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2.2.21. Участь у профорієнтаційних заходах, що організовуються державними та громадськими інституціями, зокрема службами зайнятості.</w:t>
      </w:r>
    </w:p>
    <w:p w14:paraId="00000034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2.2.22. Консультування учнівської молоді, вступників та їхніх батьків з питань вибору освітньої траєкторії, спеціальності та умов вступу до Університету.</w:t>
      </w:r>
    </w:p>
    <w:p w14:paraId="00000035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2.2.23. Залучення здобувачів вищої освіти та випускників Університету до реалізації профорієнтаційних, інформаційних та іміджевих ініціатив.</w:t>
      </w:r>
    </w:p>
    <w:p w14:paraId="00000036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2.2.24. Надання консультативної та методичної допомоги структурним підрозділам Університету з питань організації виховної та профорієнтаційної роботи.</w:t>
      </w:r>
    </w:p>
    <w:p w14:paraId="00000037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2.2.25. Співпраця із засобами масової інформації та цифровими медіаплатформами з метою популяризації Університету та його освітніх послуг.</w:t>
      </w:r>
    </w:p>
    <w:p w14:paraId="00000038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2.2.26. Розроблення, оновлення та поширення рекламно-інформаційних матеріалів про Університет, його освітні програми, факультети та студентське життя.</w:t>
      </w:r>
    </w:p>
    <w:p w14:paraId="00000039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2.2.27. Підготовка аналітичних матеріалів, звітів і підсумкової інформації про результати організаційно-виховної та профорієнтаційної діяльності Відділу.</w:t>
      </w:r>
    </w:p>
    <w:p w14:paraId="0000003A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2.2.28. Координація та консультативний супровід структурних підрозділів Університету з питань забезпечення дотримання корпоративної айдентики, брендбуку та стандартів єдиного візуального і комунікаційного стилю Університету у внутрішніх та зовнішніх інформаційних продуктах.</w:t>
      </w:r>
    </w:p>
    <w:p w14:paraId="0000003B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III. Права та відповідальність</w:t>
      </w:r>
    </w:p>
    <w:p w14:paraId="0000003C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З метою реалізації визначених завдань Відділ має право: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3.1.1. Отримувати необхідну інформацію від структурних підрозділів Університету.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3.1.2. Залучати до проведення організаційно-виховної та профорієнтаційної роботи структурні підрозділи Університету, зокрема факультети, кафедри, представників органів студентського самоврядування Університету.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3.1.3. Брати участь в обговоренні і вирішенні питань виховної діяльності Університету.</w:t>
      </w:r>
    </w:p>
    <w:p w14:paraId="0000003D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Відділ зобов’язаний: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3.2.1. Забезпечувати якісну організацію і проведення виховних заходів.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3.2.2. Представляти ректору Університету пропозиції щодо вдосконалення виховного процесу.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3.2.3. Здійснювати свою діяльність відповідно до Статуту та Правил внутрішнього розпорядку Університету.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3.2.4. Своєчасно та якісно виконувати накази та розпорядження ректора Університету.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3.2.5. Своєчасно звітувати про свою діяльність перед ректором Університету.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3.2.6. Дотримуватись вимог законодавства про працю, правил і норм охорони праці.</w:t>
      </w:r>
    </w:p>
    <w:p w14:paraId="0000003E" w14:textId="77777777" w:rsidR="00004FBD" w:rsidRDefault="00040422" w:rsidP="00040422">
      <w:pPr>
        <w:spacing w:before="240"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3.3 Працівники Відділу несуть відповідальність за:</w:t>
      </w:r>
    </w:p>
    <w:p w14:paraId="0000003F" w14:textId="77777777" w:rsidR="00004FBD" w:rsidRDefault="00040422" w:rsidP="000404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достовірність поширюваної інформації;</w:t>
      </w:r>
    </w:p>
    <w:p w14:paraId="00000040" w14:textId="77777777" w:rsidR="00004FBD" w:rsidRDefault="00040422" w:rsidP="000404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дотримання законодавства про рекламу та персональні дані;</w:t>
      </w:r>
    </w:p>
    <w:p w14:paraId="00000041" w14:textId="77777777" w:rsidR="00004FBD" w:rsidRDefault="00040422" w:rsidP="000404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збереження службової інформації;</w:t>
      </w:r>
    </w:p>
    <w:p w14:paraId="00000042" w14:textId="77777777" w:rsidR="00004FBD" w:rsidRDefault="00040422" w:rsidP="000404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належне виконання посадових обов’язків.</w:t>
      </w:r>
    </w:p>
    <w:p w14:paraId="00000043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IV. Взаємини зі структурними підрозділами</w:t>
      </w:r>
    </w:p>
    <w:p w14:paraId="00000044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Відділ співпрацює з усіма підрозділами Університету з питань виховної роботи та професійної орієнтації молоді.</w:t>
      </w:r>
    </w:p>
    <w:p w14:paraId="00000045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З деканатами, кафедрами Університету щодо: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– організації та проведення організаційно-виховних, профорієнтаційних та розважальних заходів;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– погодження етапів та графіків проведення профорієнтаційної роботи;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– отримання інформації про проведену виховну та профорієнтаційну роботу;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– організації співпраці з закладами загальної середньої освіти на закладами вищої освіти;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– розроблення рекламної продукції тощо.</w:t>
      </w:r>
    </w:p>
    <w:p w14:paraId="00000046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З приймальною комісією — щодо отримання інформації про правила прийому на навчання до Університету.</w:t>
      </w:r>
    </w:p>
    <w:p w14:paraId="00000047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З підготовчим відділенням — щодо:</w:t>
      </w:r>
    </w:p>
    <w:p w14:paraId="00000048" w14:textId="77777777" w:rsidR="00004FBD" w:rsidRDefault="00040422" w:rsidP="0004042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– надання інформації про осіб, які навчаються на підготовчих курсах;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– отримання інформації про чисельність зарахованих вступників з числа слухачів підготовчих курсів.</w:t>
      </w:r>
    </w:p>
    <w:p w14:paraId="00000049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V. Прикінцеві положення</w:t>
      </w:r>
    </w:p>
    <w:p w14:paraId="0000004A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 Зміни та доповнення до цього Положення затверджуються Вченою радою Університету та вводяться в дію наказом ректора Університету.</w:t>
      </w:r>
    </w:p>
    <w:p w14:paraId="0000004B" w14:textId="77777777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Рішення про реорганізацію або ліквідацію Відділу ухвалюється наказом ректора на підставі рішення Вченої ради Університету.</w:t>
      </w:r>
    </w:p>
    <w:p w14:paraId="0000004C" w14:textId="0A977E53" w:rsidR="00004FBD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0D5F76A" w14:textId="77777777" w:rsidR="00040422" w:rsidRDefault="00040422" w:rsidP="00040422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D" w14:textId="77777777" w:rsidR="00004FBD" w:rsidRDefault="00040422" w:rsidP="0004042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ПОГОДЖЕНО</w:t>
      </w:r>
    </w:p>
    <w:p w14:paraId="00000064" w14:textId="53548E11" w:rsidR="00004FBD" w:rsidRPr="00040422" w:rsidRDefault="00040422" w:rsidP="0004042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Провідний юрисконсульт        </w:t>
      </w:r>
      <w:r w:rsidR="002944E3" w:rsidRPr="002944E3">
        <w:rPr>
          <w:rFonts w:cs="Times New Roman"/>
          <w:noProof/>
          <w:lang w:val="uk-UA"/>
        </w:rPr>
        <w:drawing>
          <wp:inline distT="0" distB="0" distL="0" distR="0" wp14:anchorId="2B1C3D02" wp14:editId="755D39FC">
            <wp:extent cx="937260" cy="358140"/>
            <wp:effectExtent l="0" t="0" r="0" b="381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4E3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Наталія ПРЕДМЕСТНІКОВА</w:t>
      </w:r>
    </w:p>
    <w:p w14:paraId="00000065" w14:textId="77777777" w:rsidR="00004FBD" w:rsidRDefault="00004FBD" w:rsidP="0004042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0000067" w14:textId="77777777" w:rsidR="00004FBD" w:rsidRDefault="00004FBD" w:rsidP="0004042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1" w:name="_GoBack"/>
      <w:bookmarkEnd w:id="1"/>
    </w:p>
    <w:p w14:paraId="00000068" w14:textId="77777777" w:rsidR="00004FBD" w:rsidRDefault="00040422" w:rsidP="0004042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Виконавець Моложон І.В.</w:t>
      </w:r>
    </w:p>
    <w:sectPr w:rsidR="00004FBD">
      <w:type w:val="continuous"/>
      <w:pgSz w:w="11906" w:h="16838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C79F4EC7-683F-44F4-AF9B-2670B5D55C5A}"/>
    <w:embedBold r:id="rId2" w:fontKey="{BC8083C4-52F5-4ACD-B3BA-4FC533B242B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9EB8AEB6-49C0-4AAA-BE41-74484BC64F2F}"/>
  </w:font>
  <w:font w:name="Roboto">
    <w:charset w:val="00"/>
    <w:family w:val="auto"/>
    <w:pitch w:val="default"/>
    <w:embedRegular r:id="rId4" w:fontKey="{AAC3244E-F3D5-4B97-9DDB-6B484AB463D5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5" w:fontKey="{1F09E95A-E68F-468C-8D6D-6E06CCD5BD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BD"/>
    <w:rsid w:val="00004FBD"/>
    <w:rsid w:val="00040422"/>
    <w:rsid w:val="002944E3"/>
    <w:rsid w:val="0067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2E05"/>
  <w15:docId w15:val="{463CB37F-F3EC-4F56-B74B-B9B9B26F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0" w:line="240" w:lineRule="auto"/>
      <w:ind w:left="468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азва Знак"/>
    <w:basedOn w:val="a0"/>
    <w:rsid w:val="004C6F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uiPriority w:val="99"/>
    <w:unhideWhenUsed/>
    <w:rsid w:val="00544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44F92"/>
    <w:rPr>
      <w:b/>
      <w:bCs/>
    </w:rPr>
  </w:style>
  <w:style w:type="paragraph" w:styleId="a7">
    <w:name w:val="List Paragraph"/>
    <w:uiPriority w:val="34"/>
    <w:qFormat/>
    <w:rsid w:val="00544F92"/>
    <w:pPr>
      <w:ind w:left="720"/>
      <w:contextualSpacing/>
    </w:p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go/2657-12?utm_source=chatgpt.com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zakon.rada.gov.ua/go/2657-12?utm_source=chatgpt.com" TargetMode="External"/><Relationship Id="rId12" Type="http://schemas.openxmlformats.org/officeDocument/2006/relationships/hyperlink" Target="https://zakon.rada.gov.ua/go/2939-1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go/2297-17?utm_source=chatgpt.com" TargetMode="External"/><Relationship Id="rId11" Type="http://schemas.openxmlformats.org/officeDocument/2006/relationships/hyperlink" Target="https://zakon.rada.gov.ua/go/2939-17" TargetMode="External"/><Relationship Id="rId5" Type="http://schemas.openxmlformats.org/officeDocument/2006/relationships/hyperlink" Target="https://zakon.rada.gov.ua/go/2297-17?utm_source=chatgpt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go/270/96-%D0%B2%D1%80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go/270/96-%D0%B2%D1%80?utm_source=chatgpt.com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QpDHndysLUPW6B+mr9cnPyp+pg==">CgMxLjAyDmguNWRlcjduczJ6OXY0OAByITFMUm9vOUNyeG01dFdTbWNncWhXTWhvejU1QVVySHJwbg==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6730</Words>
  <Characters>3837</Characters>
  <Application>Microsoft Office Word</Application>
  <DocSecurity>0</DocSecurity>
  <Lines>31</Lines>
  <Paragraphs>21</Paragraphs>
  <ScaleCrop>false</ScaleCrop>
  <Company/>
  <LinksUpToDate>false</LinksUpToDate>
  <CharactersWithSpaces>10546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 Моложон</dc:creator>
  <cp:lastModifiedBy>Карина Моложон</cp:lastModifiedBy>
  <cp:revision>5</cp:revision>
  <dcterms:created xsi:type="dcterms:W3CDTF">2026-02-10T21:25:00Z</dcterms:created>
  <dcterms:modified xsi:type="dcterms:W3CDTF">2026-03-03T09:45:00Z</dcterms:modified>
</cp:coreProperties>
</file>